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B6" w:rsidRDefault="005720B6">
      <w:pPr>
        <w:pStyle w:val="Ttulo"/>
      </w:pPr>
    </w:p>
    <w:p w:rsidR="005720B6" w:rsidRDefault="005720B6">
      <w:pPr>
        <w:pStyle w:val="Ttulo"/>
      </w:pPr>
    </w:p>
    <w:p w:rsidR="00F154B5" w:rsidRPr="00C35DBA" w:rsidRDefault="00F154B5">
      <w:pPr>
        <w:pStyle w:val="Ttulo"/>
      </w:pPr>
      <w:r w:rsidRPr="00C35DBA">
        <w:t>AYUNTAMIENTO DE VALLADOLID</w:t>
      </w:r>
    </w:p>
    <w:p w:rsidR="00F154B5" w:rsidRDefault="00F154B5">
      <w:pPr>
        <w:jc w:val="both"/>
        <w:rPr>
          <w:rFonts w:ascii="Courier" w:hAnsi="Courier"/>
          <w:sz w:val="24"/>
        </w:rPr>
      </w:pPr>
    </w:p>
    <w:p w:rsidR="00160A07" w:rsidRPr="00C35DBA" w:rsidRDefault="00160A07">
      <w:pPr>
        <w:jc w:val="both"/>
        <w:rPr>
          <w:rFonts w:ascii="Courier" w:hAnsi="Courier"/>
          <w:sz w:val="24"/>
        </w:rPr>
      </w:pPr>
    </w:p>
    <w:p w:rsidR="00F154B5" w:rsidRPr="00C35DBA" w:rsidRDefault="00135B87">
      <w:pPr>
        <w:spacing w:line="-240" w:lineRule="auto"/>
        <w:jc w:val="both"/>
        <w:rPr>
          <w:rFonts w:ascii="Courier" w:hAnsi="Courier"/>
          <w:b/>
          <w:bCs/>
          <w:sz w:val="24"/>
        </w:rPr>
      </w:pPr>
      <w:r>
        <w:rPr>
          <w:rFonts w:ascii="Courier" w:hAnsi="Courier"/>
          <w:b/>
          <w:bCs/>
          <w:sz w:val="24"/>
        </w:rPr>
        <w:t>ASUNTO</w:t>
      </w:r>
      <w:r w:rsidR="005C1AED">
        <w:rPr>
          <w:rFonts w:ascii="Courier" w:hAnsi="Courier"/>
          <w:b/>
          <w:bCs/>
          <w:sz w:val="24"/>
        </w:rPr>
        <w:t>S</w:t>
      </w:r>
      <w:r>
        <w:rPr>
          <w:rFonts w:ascii="Courier" w:hAnsi="Courier"/>
          <w:b/>
          <w:bCs/>
          <w:sz w:val="24"/>
        </w:rPr>
        <w:t xml:space="preserve"> COMPRENDIDO</w:t>
      </w:r>
      <w:r w:rsidR="005C1AED">
        <w:rPr>
          <w:rFonts w:ascii="Courier" w:hAnsi="Courier"/>
          <w:b/>
          <w:bCs/>
          <w:sz w:val="24"/>
        </w:rPr>
        <w:t>S</w:t>
      </w:r>
      <w:r w:rsidR="00F154B5" w:rsidRPr="00C35DBA">
        <w:rPr>
          <w:rFonts w:ascii="Courier" w:hAnsi="Courier"/>
          <w:b/>
          <w:bCs/>
          <w:sz w:val="24"/>
        </w:rPr>
        <w:t xml:space="preserve"> EN EL CAPÍTULO DE DESPACHO EXTRAORDINARIO DEL ORDEN DEL DÍA CORRESPONDIENTE A LA SESIÓN ORDINARIA DE LA JUNTA DE GOBIERNO DE VALLADOLID DEL </w:t>
      </w:r>
      <w:r w:rsidR="00974D28" w:rsidRPr="00C35DBA">
        <w:rPr>
          <w:rFonts w:ascii="Courier" w:hAnsi="Courier"/>
          <w:b/>
          <w:bCs/>
          <w:sz w:val="24"/>
          <w:u w:val="single"/>
        </w:rPr>
        <w:t xml:space="preserve">DÍA </w:t>
      </w:r>
      <w:r w:rsidR="006130AC">
        <w:rPr>
          <w:rFonts w:ascii="Courier" w:hAnsi="Courier"/>
          <w:b/>
          <w:bCs/>
          <w:sz w:val="24"/>
          <w:u w:val="single"/>
        </w:rPr>
        <w:t>2</w:t>
      </w:r>
      <w:r w:rsidR="0067021C">
        <w:rPr>
          <w:rFonts w:ascii="Courier" w:hAnsi="Courier"/>
          <w:b/>
          <w:bCs/>
          <w:sz w:val="24"/>
          <w:u w:val="single"/>
        </w:rPr>
        <w:t>8</w:t>
      </w:r>
      <w:r w:rsidR="005D1AEF">
        <w:rPr>
          <w:rFonts w:ascii="Courier" w:hAnsi="Courier"/>
          <w:b/>
          <w:bCs/>
          <w:sz w:val="24"/>
          <w:u w:val="single"/>
        </w:rPr>
        <w:t xml:space="preserve"> DE</w:t>
      </w:r>
      <w:r w:rsidR="00F154B5" w:rsidRPr="00C35DBA">
        <w:rPr>
          <w:rFonts w:ascii="Courier" w:hAnsi="Courier"/>
          <w:b/>
          <w:bCs/>
          <w:sz w:val="24"/>
          <w:u w:val="single"/>
        </w:rPr>
        <w:t xml:space="preserve"> </w:t>
      </w:r>
      <w:r w:rsidR="00475DF2">
        <w:rPr>
          <w:rFonts w:ascii="Courier" w:hAnsi="Courier"/>
          <w:b/>
          <w:bCs/>
          <w:sz w:val="24"/>
          <w:u w:val="single"/>
        </w:rPr>
        <w:t>DICI</w:t>
      </w:r>
      <w:r w:rsidR="006130AC">
        <w:rPr>
          <w:rFonts w:ascii="Courier" w:hAnsi="Courier"/>
          <w:b/>
          <w:bCs/>
          <w:sz w:val="24"/>
          <w:u w:val="single"/>
        </w:rPr>
        <w:t>EMBRE</w:t>
      </w:r>
      <w:r w:rsidR="00F154B5" w:rsidRPr="00C35DBA">
        <w:rPr>
          <w:rFonts w:ascii="Courier" w:hAnsi="Courier"/>
          <w:b/>
          <w:bCs/>
          <w:sz w:val="24"/>
          <w:u w:val="single"/>
        </w:rPr>
        <w:t xml:space="preserve"> DE 201</w:t>
      </w:r>
      <w:r w:rsidR="003F437A">
        <w:rPr>
          <w:rFonts w:ascii="Courier" w:hAnsi="Courier"/>
          <w:b/>
          <w:bCs/>
          <w:sz w:val="24"/>
          <w:u w:val="single"/>
        </w:rPr>
        <w:t>7</w:t>
      </w:r>
      <w:r w:rsidR="00F154B5" w:rsidRPr="00C35DBA">
        <w:rPr>
          <w:rFonts w:ascii="Courier" w:hAnsi="Courier"/>
          <w:b/>
          <w:bCs/>
          <w:sz w:val="24"/>
          <w:u w:val="single"/>
        </w:rPr>
        <w:t>.</w:t>
      </w:r>
    </w:p>
    <w:p w:rsidR="00F154B5" w:rsidRDefault="00F154B5">
      <w:pPr>
        <w:pStyle w:val="CENTRADO"/>
      </w:pPr>
    </w:p>
    <w:p w:rsidR="00ED4399" w:rsidRPr="00C35DBA" w:rsidRDefault="00ED4399">
      <w:pPr>
        <w:jc w:val="both"/>
        <w:rPr>
          <w:rFonts w:ascii="Courier" w:hAnsi="Courier"/>
          <w:sz w:val="24"/>
        </w:rPr>
      </w:pPr>
    </w:p>
    <w:tbl>
      <w:tblPr>
        <w:tblW w:w="0" w:type="auto"/>
        <w:tblInd w:w="637" w:type="dxa"/>
        <w:tblLayout w:type="fixed"/>
        <w:tblCellMar>
          <w:left w:w="70" w:type="dxa"/>
          <w:right w:w="70" w:type="dxa"/>
        </w:tblCellMar>
        <w:tblLook w:val="0000"/>
      </w:tblPr>
      <w:tblGrid>
        <w:gridCol w:w="803"/>
        <w:gridCol w:w="7135"/>
      </w:tblGrid>
      <w:tr w:rsidR="00F154B5" w:rsidRPr="00C35DBA" w:rsidTr="0067021C">
        <w:tblPrEx>
          <w:tblCellMar>
            <w:top w:w="0" w:type="dxa"/>
            <w:bottom w:w="0" w:type="dxa"/>
          </w:tblCellMar>
        </w:tblPrEx>
        <w:tc>
          <w:tcPr>
            <w:tcW w:w="803" w:type="dxa"/>
          </w:tcPr>
          <w:p w:rsidR="00F154B5" w:rsidRPr="00C35DBA" w:rsidRDefault="0067021C" w:rsidP="0067021C">
            <w:pPr>
              <w:spacing w:line="-240" w:lineRule="auto"/>
              <w:jc w:val="both"/>
              <w:rPr>
                <w:rFonts w:ascii="Courier" w:hAnsi="Courier"/>
                <w:sz w:val="24"/>
              </w:rPr>
            </w:pPr>
            <w:r>
              <w:rPr>
                <w:rFonts w:ascii="Courier" w:hAnsi="Courier"/>
                <w:sz w:val="24"/>
              </w:rPr>
              <w:t>10.</w:t>
            </w:r>
            <w:r w:rsidR="005C1AED">
              <w:rPr>
                <w:rFonts w:ascii="Courier" w:hAnsi="Courier"/>
                <w:sz w:val="24"/>
              </w:rPr>
              <w:t>1</w:t>
            </w:r>
          </w:p>
        </w:tc>
        <w:tc>
          <w:tcPr>
            <w:tcW w:w="7135" w:type="dxa"/>
          </w:tcPr>
          <w:p w:rsidR="00F154B5" w:rsidRPr="00C35DBA" w:rsidRDefault="0006240B" w:rsidP="00C51BDA">
            <w:pPr>
              <w:pStyle w:val="JUSTIFICADO"/>
              <w:spacing w:line="-240" w:lineRule="auto"/>
            </w:pPr>
            <w:r>
              <w:t>Estimación de recurso y concesión de licencia de obras para construcción de torre de ascensor en patio interior, con ampliación de portal y reestructuración de primer tramo de escaleras, ocupando dos locales en planta baja-entreplanta y un local en planta sótano, en calle Cigüeña nº 2, solicitada por Comunidad de Propietarios Cigüeña 2.</w:t>
            </w:r>
          </w:p>
        </w:tc>
      </w:tr>
    </w:tbl>
    <w:p w:rsidR="00E87CED" w:rsidRDefault="00E87CED">
      <w:pPr>
        <w:jc w:val="both"/>
        <w:rPr>
          <w:rFonts w:ascii="Courier" w:hAnsi="Courier"/>
          <w:sz w:val="24"/>
        </w:rPr>
      </w:pPr>
    </w:p>
    <w:tbl>
      <w:tblPr>
        <w:tblW w:w="0" w:type="auto"/>
        <w:tblInd w:w="637" w:type="dxa"/>
        <w:tblLayout w:type="fixed"/>
        <w:tblCellMar>
          <w:left w:w="70" w:type="dxa"/>
          <w:right w:w="70" w:type="dxa"/>
        </w:tblCellMar>
        <w:tblLook w:val="0000"/>
      </w:tblPr>
      <w:tblGrid>
        <w:gridCol w:w="803"/>
        <w:gridCol w:w="7135"/>
      </w:tblGrid>
      <w:tr w:rsidR="00DF6B69" w:rsidRPr="00C35DBA" w:rsidTr="0067021C">
        <w:tblPrEx>
          <w:tblCellMar>
            <w:top w:w="0" w:type="dxa"/>
            <w:bottom w:w="0" w:type="dxa"/>
          </w:tblCellMar>
        </w:tblPrEx>
        <w:tc>
          <w:tcPr>
            <w:tcW w:w="803" w:type="dxa"/>
          </w:tcPr>
          <w:p w:rsidR="00DF6B69" w:rsidRPr="00C35DBA" w:rsidRDefault="0067021C" w:rsidP="0067021C">
            <w:pPr>
              <w:spacing w:line="-240" w:lineRule="auto"/>
              <w:jc w:val="both"/>
              <w:rPr>
                <w:rFonts w:ascii="Courier" w:hAnsi="Courier"/>
                <w:sz w:val="24"/>
              </w:rPr>
            </w:pPr>
            <w:r>
              <w:rPr>
                <w:rFonts w:ascii="Courier" w:hAnsi="Courier"/>
                <w:sz w:val="24"/>
              </w:rPr>
              <w:t>10</w:t>
            </w:r>
            <w:r w:rsidR="00DF6B69">
              <w:rPr>
                <w:rFonts w:ascii="Courier" w:hAnsi="Courier"/>
                <w:sz w:val="24"/>
              </w:rPr>
              <w:t>.</w:t>
            </w:r>
            <w:r w:rsidR="00A2284D">
              <w:rPr>
                <w:rFonts w:ascii="Courier" w:hAnsi="Courier"/>
                <w:sz w:val="24"/>
              </w:rPr>
              <w:t>2</w:t>
            </w:r>
          </w:p>
        </w:tc>
        <w:tc>
          <w:tcPr>
            <w:tcW w:w="7135" w:type="dxa"/>
          </w:tcPr>
          <w:p w:rsidR="00DF6B69" w:rsidRPr="00C35DBA" w:rsidRDefault="005B23E0" w:rsidP="0037359E">
            <w:pPr>
              <w:pStyle w:val="JUSTIFICADO"/>
              <w:spacing w:line="-240" w:lineRule="auto"/>
            </w:pPr>
            <w:r>
              <w:t>Aprobación de</w:t>
            </w:r>
            <w:r w:rsidR="00C351D2">
              <w:t>l</w:t>
            </w:r>
            <w:r>
              <w:t xml:space="preserve"> expediente </w:t>
            </w:r>
            <w:r w:rsidR="00C351D2">
              <w:t xml:space="preserve">para </w:t>
            </w:r>
            <w:r>
              <w:t xml:space="preserve">la contratación de </w:t>
            </w:r>
            <w:r w:rsidR="0037359E">
              <w:t>las obras de reparación en los pasos de peatones del polígono industrial El Carrascal.</w:t>
            </w:r>
          </w:p>
        </w:tc>
      </w:tr>
    </w:tbl>
    <w:p w:rsidR="00E70863" w:rsidRDefault="00E70863">
      <w:pPr>
        <w:jc w:val="both"/>
        <w:rPr>
          <w:rFonts w:ascii="Courier" w:hAnsi="Courier"/>
          <w:sz w:val="24"/>
        </w:rPr>
      </w:pPr>
    </w:p>
    <w:tbl>
      <w:tblPr>
        <w:tblW w:w="0" w:type="auto"/>
        <w:tblInd w:w="637" w:type="dxa"/>
        <w:tblLayout w:type="fixed"/>
        <w:tblCellMar>
          <w:left w:w="70" w:type="dxa"/>
          <w:right w:w="70" w:type="dxa"/>
        </w:tblCellMar>
        <w:tblLook w:val="0000"/>
      </w:tblPr>
      <w:tblGrid>
        <w:gridCol w:w="803"/>
        <w:gridCol w:w="7135"/>
      </w:tblGrid>
      <w:tr w:rsidR="009A0A00" w:rsidRPr="00C35DBA" w:rsidTr="0067021C">
        <w:tblPrEx>
          <w:tblCellMar>
            <w:top w:w="0" w:type="dxa"/>
            <w:bottom w:w="0" w:type="dxa"/>
          </w:tblCellMar>
        </w:tblPrEx>
        <w:tc>
          <w:tcPr>
            <w:tcW w:w="803" w:type="dxa"/>
          </w:tcPr>
          <w:p w:rsidR="009A0A00" w:rsidRPr="00C35DBA" w:rsidRDefault="0067021C" w:rsidP="0067021C">
            <w:pPr>
              <w:spacing w:line="-240" w:lineRule="auto"/>
              <w:jc w:val="both"/>
              <w:rPr>
                <w:rFonts w:ascii="Courier" w:hAnsi="Courier"/>
                <w:sz w:val="24"/>
              </w:rPr>
            </w:pPr>
            <w:r>
              <w:rPr>
                <w:rFonts w:ascii="Courier" w:hAnsi="Courier"/>
                <w:sz w:val="24"/>
              </w:rPr>
              <w:t>10</w:t>
            </w:r>
            <w:r w:rsidR="009A0A00">
              <w:rPr>
                <w:rFonts w:ascii="Courier" w:hAnsi="Courier"/>
                <w:sz w:val="24"/>
              </w:rPr>
              <w:t>.3</w:t>
            </w:r>
          </w:p>
        </w:tc>
        <w:tc>
          <w:tcPr>
            <w:tcW w:w="7135" w:type="dxa"/>
          </w:tcPr>
          <w:p w:rsidR="009A0A00" w:rsidRPr="00C35DBA" w:rsidRDefault="00556811" w:rsidP="000539FF">
            <w:pPr>
              <w:pStyle w:val="JUSTIFICADO"/>
              <w:spacing w:line="-240" w:lineRule="auto"/>
            </w:pPr>
            <w:r>
              <w:t>Aprobación del expediente de contratación del servicio de integración de un sistema de gestión de eventos de movilidad, en el sistema centralizado de control de tráfico de la ciudad de Valladolid.</w:t>
            </w:r>
          </w:p>
        </w:tc>
      </w:tr>
    </w:tbl>
    <w:p w:rsidR="009A0A00" w:rsidRDefault="009A0A00" w:rsidP="009A0A00">
      <w:pPr>
        <w:jc w:val="both"/>
        <w:rPr>
          <w:rFonts w:ascii="Courier" w:hAnsi="Courier"/>
          <w:sz w:val="24"/>
        </w:rPr>
      </w:pPr>
    </w:p>
    <w:tbl>
      <w:tblPr>
        <w:tblW w:w="0" w:type="auto"/>
        <w:tblInd w:w="637" w:type="dxa"/>
        <w:tblLayout w:type="fixed"/>
        <w:tblCellMar>
          <w:left w:w="70" w:type="dxa"/>
          <w:right w:w="70" w:type="dxa"/>
        </w:tblCellMar>
        <w:tblLook w:val="0000"/>
      </w:tblPr>
      <w:tblGrid>
        <w:gridCol w:w="803"/>
        <w:gridCol w:w="7135"/>
      </w:tblGrid>
      <w:tr w:rsidR="00863592" w:rsidRPr="00C35DBA" w:rsidTr="00C43935">
        <w:tblPrEx>
          <w:tblCellMar>
            <w:top w:w="0" w:type="dxa"/>
            <w:bottom w:w="0" w:type="dxa"/>
          </w:tblCellMar>
        </w:tblPrEx>
        <w:tc>
          <w:tcPr>
            <w:tcW w:w="803" w:type="dxa"/>
          </w:tcPr>
          <w:p w:rsidR="00863592" w:rsidRPr="00C35DBA" w:rsidRDefault="00863592" w:rsidP="00863592">
            <w:pPr>
              <w:spacing w:line="-240" w:lineRule="auto"/>
              <w:jc w:val="both"/>
              <w:rPr>
                <w:rFonts w:ascii="Courier" w:hAnsi="Courier"/>
                <w:sz w:val="24"/>
              </w:rPr>
            </w:pPr>
            <w:r>
              <w:rPr>
                <w:rFonts w:ascii="Courier" w:hAnsi="Courier"/>
                <w:sz w:val="24"/>
              </w:rPr>
              <w:t>10.4</w:t>
            </w:r>
          </w:p>
        </w:tc>
        <w:tc>
          <w:tcPr>
            <w:tcW w:w="7135" w:type="dxa"/>
          </w:tcPr>
          <w:p w:rsidR="00863592" w:rsidRPr="00C35DBA" w:rsidRDefault="00863592" w:rsidP="00863592">
            <w:pPr>
              <w:pStyle w:val="JUSTIFICADO"/>
              <w:spacing w:line="-240" w:lineRule="auto"/>
            </w:pPr>
            <w:r>
              <w:t>Adjudicación de la contratación del alquiler de diversos locales para uso como sede social de asociaciones vecinales.</w:t>
            </w:r>
          </w:p>
        </w:tc>
      </w:tr>
    </w:tbl>
    <w:p w:rsidR="00863592" w:rsidRDefault="00863592" w:rsidP="00863592">
      <w:pPr>
        <w:jc w:val="both"/>
        <w:rPr>
          <w:rFonts w:ascii="Courier" w:hAnsi="Courier"/>
          <w:sz w:val="24"/>
        </w:rPr>
      </w:pPr>
    </w:p>
    <w:tbl>
      <w:tblPr>
        <w:tblW w:w="0" w:type="auto"/>
        <w:tblInd w:w="637" w:type="dxa"/>
        <w:tblLayout w:type="fixed"/>
        <w:tblCellMar>
          <w:left w:w="70" w:type="dxa"/>
          <w:right w:w="70" w:type="dxa"/>
        </w:tblCellMar>
        <w:tblLook w:val="0000"/>
      </w:tblPr>
      <w:tblGrid>
        <w:gridCol w:w="803"/>
        <w:gridCol w:w="7135"/>
      </w:tblGrid>
      <w:tr w:rsidR="00863592" w:rsidRPr="00C35DBA" w:rsidTr="00C43935">
        <w:tblPrEx>
          <w:tblCellMar>
            <w:top w:w="0" w:type="dxa"/>
            <w:bottom w:w="0" w:type="dxa"/>
          </w:tblCellMar>
        </w:tblPrEx>
        <w:tc>
          <w:tcPr>
            <w:tcW w:w="803" w:type="dxa"/>
          </w:tcPr>
          <w:p w:rsidR="00863592" w:rsidRPr="00C35DBA" w:rsidRDefault="00863592" w:rsidP="00C43935">
            <w:pPr>
              <w:spacing w:line="-240" w:lineRule="auto"/>
              <w:jc w:val="both"/>
              <w:rPr>
                <w:rFonts w:ascii="Courier" w:hAnsi="Courier"/>
                <w:sz w:val="24"/>
              </w:rPr>
            </w:pPr>
            <w:r>
              <w:rPr>
                <w:rFonts w:ascii="Courier" w:hAnsi="Courier"/>
                <w:sz w:val="24"/>
              </w:rPr>
              <w:t>10.5</w:t>
            </w:r>
          </w:p>
        </w:tc>
        <w:tc>
          <w:tcPr>
            <w:tcW w:w="7135" w:type="dxa"/>
          </w:tcPr>
          <w:p w:rsidR="00863592" w:rsidRPr="00C35DBA" w:rsidRDefault="003B0313" w:rsidP="003B0313">
            <w:pPr>
              <w:pStyle w:val="JUSTIFICADO"/>
              <w:spacing w:line="-240" w:lineRule="auto"/>
            </w:pPr>
            <w:r>
              <w:t>Aprobación del expediente de contratación de las obras para la construcción de un campo de rugby de hierba sintética en los campos Pepe Rojo.</w:t>
            </w:r>
          </w:p>
        </w:tc>
      </w:tr>
    </w:tbl>
    <w:p w:rsidR="00863592" w:rsidRDefault="00863592" w:rsidP="00863592">
      <w:pPr>
        <w:jc w:val="both"/>
        <w:rPr>
          <w:rFonts w:ascii="Courier" w:hAnsi="Courier"/>
          <w:sz w:val="24"/>
        </w:rPr>
      </w:pPr>
    </w:p>
    <w:tbl>
      <w:tblPr>
        <w:tblW w:w="0" w:type="auto"/>
        <w:tblInd w:w="637" w:type="dxa"/>
        <w:tblLayout w:type="fixed"/>
        <w:tblCellMar>
          <w:left w:w="70" w:type="dxa"/>
          <w:right w:w="70" w:type="dxa"/>
        </w:tblCellMar>
        <w:tblLook w:val="0000"/>
      </w:tblPr>
      <w:tblGrid>
        <w:gridCol w:w="803"/>
        <w:gridCol w:w="7135"/>
      </w:tblGrid>
      <w:tr w:rsidR="00863592" w:rsidRPr="00C35DBA" w:rsidTr="00C43935">
        <w:tblPrEx>
          <w:tblCellMar>
            <w:top w:w="0" w:type="dxa"/>
            <w:bottom w:w="0" w:type="dxa"/>
          </w:tblCellMar>
        </w:tblPrEx>
        <w:tc>
          <w:tcPr>
            <w:tcW w:w="803" w:type="dxa"/>
          </w:tcPr>
          <w:p w:rsidR="00863592" w:rsidRPr="00C35DBA" w:rsidRDefault="00863592" w:rsidP="00863592">
            <w:pPr>
              <w:spacing w:line="-240" w:lineRule="auto"/>
              <w:jc w:val="both"/>
              <w:rPr>
                <w:rFonts w:ascii="Courier" w:hAnsi="Courier"/>
                <w:sz w:val="24"/>
              </w:rPr>
            </w:pPr>
            <w:r>
              <w:rPr>
                <w:rFonts w:ascii="Courier" w:hAnsi="Courier"/>
                <w:sz w:val="24"/>
              </w:rPr>
              <w:t>10.6</w:t>
            </w:r>
          </w:p>
        </w:tc>
        <w:tc>
          <w:tcPr>
            <w:tcW w:w="7135" w:type="dxa"/>
          </w:tcPr>
          <w:p w:rsidR="00863592" w:rsidRPr="00C35DBA" w:rsidRDefault="003B0313" w:rsidP="003B0313">
            <w:pPr>
              <w:pStyle w:val="JUSTIFICADO"/>
              <w:spacing w:line="-240" w:lineRule="auto"/>
            </w:pPr>
            <w:r>
              <w:t>Aprobación del expediente de contratación de obras de renovación del alumbrado y rehabilitación del mobiliario en Paseo del Cauce.</w:t>
            </w:r>
          </w:p>
        </w:tc>
      </w:tr>
    </w:tbl>
    <w:p w:rsidR="00863592" w:rsidRDefault="00863592" w:rsidP="00863592">
      <w:pPr>
        <w:jc w:val="both"/>
        <w:rPr>
          <w:rFonts w:ascii="Courier" w:hAnsi="Courier"/>
          <w:sz w:val="24"/>
        </w:rPr>
      </w:pPr>
    </w:p>
    <w:tbl>
      <w:tblPr>
        <w:tblW w:w="0" w:type="auto"/>
        <w:tblInd w:w="637" w:type="dxa"/>
        <w:tblLayout w:type="fixed"/>
        <w:tblCellMar>
          <w:left w:w="70" w:type="dxa"/>
          <w:right w:w="70" w:type="dxa"/>
        </w:tblCellMar>
        <w:tblLook w:val="0000"/>
      </w:tblPr>
      <w:tblGrid>
        <w:gridCol w:w="803"/>
        <w:gridCol w:w="7135"/>
      </w:tblGrid>
      <w:tr w:rsidR="003B0313" w:rsidRPr="00C35DBA" w:rsidTr="00514ED9">
        <w:tblPrEx>
          <w:tblCellMar>
            <w:top w:w="0" w:type="dxa"/>
            <w:bottom w:w="0" w:type="dxa"/>
          </w:tblCellMar>
        </w:tblPrEx>
        <w:tc>
          <w:tcPr>
            <w:tcW w:w="803" w:type="dxa"/>
          </w:tcPr>
          <w:p w:rsidR="003B0313" w:rsidRPr="00C35DBA" w:rsidRDefault="003B0313" w:rsidP="003B0313">
            <w:pPr>
              <w:spacing w:line="-240" w:lineRule="auto"/>
              <w:jc w:val="both"/>
              <w:rPr>
                <w:rFonts w:ascii="Courier" w:hAnsi="Courier"/>
                <w:sz w:val="24"/>
              </w:rPr>
            </w:pPr>
            <w:r>
              <w:rPr>
                <w:rFonts w:ascii="Courier" w:hAnsi="Courier"/>
                <w:sz w:val="24"/>
              </w:rPr>
              <w:t>10.7</w:t>
            </w:r>
          </w:p>
        </w:tc>
        <w:tc>
          <w:tcPr>
            <w:tcW w:w="7135" w:type="dxa"/>
          </w:tcPr>
          <w:p w:rsidR="003B0313" w:rsidRPr="00C35DBA" w:rsidRDefault="003B0313" w:rsidP="00514ED9">
            <w:pPr>
              <w:pStyle w:val="JUSTIFICADO"/>
              <w:spacing w:line="-240" w:lineRule="auto"/>
            </w:pPr>
            <w:r>
              <w:t>Aprobación del expediente de contratación de obras de urbanización de la plaza de Luis Braile.</w:t>
            </w:r>
          </w:p>
        </w:tc>
      </w:tr>
    </w:tbl>
    <w:p w:rsidR="003B0313" w:rsidRDefault="003B0313" w:rsidP="003B0313">
      <w:pPr>
        <w:jc w:val="both"/>
        <w:rPr>
          <w:rFonts w:ascii="Courier" w:hAnsi="Courier"/>
          <w:sz w:val="24"/>
        </w:rPr>
      </w:pPr>
    </w:p>
    <w:tbl>
      <w:tblPr>
        <w:tblW w:w="0" w:type="auto"/>
        <w:tblInd w:w="637" w:type="dxa"/>
        <w:tblLayout w:type="fixed"/>
        <w:tblCellMar>
          <w:left w:w="70" w:type="dxa"/>
          <w:right w:w="70" w:type="dxa"/>
        </w:tblCellMar>
        <w:tblLook w:val="0000"/>
      </w:tblPr>
      <w:tblGrid>
        <w:gridCol w:w="803"/>
        <w:gridCol w:w="7135"/>
      </w:tblGrid>
      <w:tr w:rsidR="003B0313" w:rsidRPr="00C35DBA" w:rsidTr="00514ED9">
        <w:tblPrEx>
          <w:tblCellMar>
            <w:top w:w="0" w:type="dxa"/>
            <w:bottom w:w="0" w:type="dxa"/>
          </w:tblCellMar>
        </w:tblPrEx>
        <w:tc>
          <w:tcPr>
            <w:tcW w:w="803" w:type="dxa"/>
          </w:tcPr>
          <w:p w:rsidR="003B0313" w:rsidRPr="00C35DBA" w:rsidRDefault="003B0313" w:rsidP="003B0313">
            <w:pPr>
              <w:spacing w:line="-240" w:lineRule="auto"/>
              <w:jc w:val="both"/>
              <w:rPr>
                <w:rFonts w:ascii="Courier" w:hAnsi="Courier"/>
                <w:sz w:val="24"/>
              </w:rPr>
            </w:pPr>
            <w:r>
              <w:rPr>
                <w:rFonts w:ascii="Courier" w:hAnsi="Courier"/>
                <w:sz w:val="24"/>
              </w:rPr>
              <w:t>10.8</w:t>
            </w:r>
          </w:p>
        </w:tc>
        <w:tc>
          <w:tcPr>
            <w:tcW w:w="7135" w:type="dxa"/>
          </w:tcPr>
          <w:p w:rsidR="003B0313" w:rsidRPr="00C35DBA" w:rsidRDefault="003B0313" w:rsidP="00514ED9">
            <w:pPr>
              <w:pStyle w:val="JUSTIFICADO"/>
              <w:spacing w:line="-240" w:lineRule="auto"/>
            </w:pPr>
            <w:r>
              <w:t>Aprobación del expediente de contratación de obras de modificaciones y adaptaciones de la urbanización en actuaciones de mejora de la seguridad peatonal y accesibilidad al transporte público.</w:t>
            </w:r>
          </w:p>
        </w:tc>
      </w:tr>
    </w:tbl>
    <w:p w:rsidR="003B0313" w:rsidRDefault="003B0313" w:rsidP="003B0313">
      <w:pPr>
        <w:jc w:val="both"/>
        <w:rPr>
          <w:rFonts w:ascii="Courier" w:hAnsi="Courier"/>
          <w:sz w:val="24"/>
        </w:rPr>
      </w:pPr>
    </w:p>
    <w:tbl>
      <w:tblPr>
        <w:tblW w:w="0" w:type="auto"/>
        <w:tblInd w:w="637" w:type="dxa"/>
        <w:tblLayout w:type="fixed"/>
        <w:tblCellMar>
          <w:left w:w="70" w:type="dxa"/>
          <w:right w:w="70" w:type="dxa"/>
        </w:tblCellMar>
        <w:tblLook w:val="0000"/>
      </w:tblPr>
      <w:tblGrid>
        <w:gridCol w:w="803"/>
        <w:gridCol w:w="7135"/>
      </w:tblGrid>
      <w:tr w:rsidR="003B0313" w:rsidRPr="00C35DBA" w:rsidTr="00514ED9">
        <w:tblPrEx>
          <w:tblCellMar>
            <w:top w:w="0" w:type="dxa"/>
            <w:bottom w:w="0" w:type="dxa"/>
          </w:tblCellMar>
        </w:tblPrEx>
        <w:tc>
          <w:tcPr>
            <w:tcW w:w="803" w:type="dxa"/>
          </w:tcPr>
          <w:p w:rsidR="003B0313" w:rsidRPr="00C35DBA" w:rsidRDefault="003B0313" w:rsidP="003B0313">
            <w:pPr>
              <w:spacing w:line="-240" w:lineRule="auto"/>
              <w:jc w:val="both"/>
              <w:rPr>
                <w:rFonts w:ascii="Courier" w:hAnsi="Courier"/>
                <w:sz w:val="24"/>
              </w:rPr>
            </w:pPr>
            <w:r>
              <w:rPr>
                <w:rFonts w:ascii="Courier" w:hAnsi="Courier"/>
                <w:sz w:val="24"/>
              </w:rPr>
              <w:t>10.9</w:t>
            </w:r>
          </w:p>
        </w:tc>
        <w:tc>
          <w:tcPr>
            <w:tcW w:w="7135" w:type="dxa"/>
          </w:tcPr>
          <w:p w:rsidR="003B0313" w:rsidRPr="00C35DBA" w:rsidRDefault="003B0313" w:rsidP="00514ED9">
            <w:pPr>
              <w:pStyle w:val="JUSTIFICADO"/>
              <w:spacing w:line="-240" w:lineRule="auto"/>
            </w:pPr>
            <w:r>
              <w:t>Subvención nominativa extraordinaria a la Fundación Teatro Calderón para el año 2017.</w:t>
            </w:r>
          </w:p>
        </w:tc>
      </w:tr>
    </w:tbl>
    <w:p w:rsidR="003B0313" w:rsidRDefault="003B0313" w:rsidP="003B0313">
      <w:pPr>
        <w:jc w:val="both"/>
        <w:rPr>
          <w:rFonts w:ascii="Courier" w:hAnsi="Courier"/>
          <w:sz w:val="24"/>
        </w:rPr>
      </w:pPr>
    </w:p>
    <w:p w:rsidR="005720B6" w:rsidRDefault="005720B6" w:rsidP="003B0313">
      <w:pPr>
        <w:jc w:val="both"/>
        <w:rPr>
          <w:rFonts w:ascii="Courier" w:hAnsi="Courier"/>
          <w:sz w:val="24"/>
        </w:rPr>
      </w:pPr>
    </w:p>
    <w:tbl>
      <w:tblPr>
        <w:tblW w:w="0" w:type="auto"/>
        <w:tblInd w:w="496" w:type="dxa"/>
        <w:tblLayout w:type="fixed"/>
        <w:tblCellMar>
          <w:left w:w="70" w:type="dxa"/>
          <w:right w:w="70" w:type="dxa"/>
        </w:tblCellMar>
        <w:tblLook w:val="0000"/>
      </w:tblPr>
      <w:tblGrid>
        <w:gridCol w:w="944"/>
        <w:gridCol w:w="7135"/>
      </w:tblGrid>
      <w:tr w:rsidR="003B0313" w:rsidRPr="00C35DBA" w:rsidTr="003B0313">
        <w:tblPrEx>
          <w:tblCellMar>
            <w:top w:w="0" w:type="dxa"/>
            <w:bottom w:w="0" w:type="dxa"/>
          </w:tblCellMar>
        </w:tblPrEx>
        <w:tc>
          <w:tcPr>
            <w:tcW w:w="944" w:type="dxa"/>
          </w:tcPr>
          <w:p w:rsidR="003B0313" w:rsidRPr="00C35DBA" w:rsidRDefault="003B0313" w:rsidP="003B0313">
            <w:pPr>
              <w:spacing w:line="-240" w:lineRule="auto"/>
              <w:jc w:val="both"/>
              <w:rPr>
                <w:rFonts w:ascii="Courier" w:hAnsi="Courier"/>
                <w:sz w:val="24"/>
              </w:rPr>
            </w:pPr>
            <w:r>
              <w:rPr>
                <w:rFonts w:ascii="Courier" w:hAnsi="Courier"/>
                <w:sz w:val="24"/>
              </w:rPr>
              <w:lastRenderedPageBreak/>
              <w:t>10.10</w:t>
            </w:r>
          </w:p>
        </w:tc>
        <w:tc>
          <w:tcPr>
            <w:tcW w:w="7135" w:type="dxa"/>
          </w:tcPr>
          <w:p w:rsidR="003B0313" w:rsidRPr="00C35DBA" w:rsidRDefault="003B0313" w:rsidP="00514ED9">
            <w:pPr>
              <w:pStyle w:val="JUSTIFICADO"/>
              <w:spacing w:line="-240" w:lineRule="auto"/>
            </w:pPr>
            <w:r>
              <w:t>Aportación extraordinaria a la Sociedad Mixta de Turismo para realización de actividades durante 2017.</w:t>
            </w:r>
          </w:p>
        </w:tc>
      </w:tr>
    </w:tbl>
    <w:p w:rsidR="005720B6" w:rsidRDefault="005720B6" w:rsidP="005720B6">
      <w:pPr>
        <w:jc w:val="both"/>
        <w:rPr>
          <w:rFonts w:ascii="Courier" w:hAnsi="Courier"/>
          <w:sz w:val="24"/>
        </w:rPr>
      </w:pPr>
    </w:p>
    <w:tbl>
      <w:tblPr>
        <w:tblW w:w="0" w:type="auto"/>
        <w:tblInd w:w="496" w:type="dxa"/>
        <w:tblLayout w:type="fixed"/>
        <w:tblCellMar>
          <w:left w:w="70" w:type="dxa"/>
          <w:right w:w="70" w:type="dxa"/>
        </w:tblCellMar>
        <w:tblLook w:val="0000"/>
      </w:tblPr>
      <w:tblGrid>
        <w:gridCol w:w="944"/>
        <w:gridCol w:w="7135"/>
      </w:tblGrid>
      <w:tr w:rsidR="005720B6" w:rsidRPr="00C35DBA" w:rsidTr="00251D02">
        <w:tblPrEx>
          <w:tblCellMar>
            <w:top w:w="0" w:type="dxa"/>
            <w:bottom w:w="0" w:type="dxa"/>
          </w:tblCellMar>
        </w:tblPrEx>
        <w:tc>
          <w:tcPr>
            <w:tcW w:w="944" w:type="dxa"/>
          </w:tcPr>
          <w:p w:rsidR="005720B6" w:rsidRPr="00C35DBA" w:rsidRDefault="005720B6" w:rsidP="005720B6">
            <w:pPr>
              <w:spacing w:line="-240" w:lineRule="auto"/>
              <w:jc w:val="both"/>
              <w:rPr>
                <w:rFonts w:ascii="Courier" w:hAnsi="Courier"/>
                <w:sz w:val="24"/>
              </w:rPr>
            </w:pPr>
            <w:r>
              <w:rPr>
                <w:rFonts w:ascii="Courier" w:hAnsi="Courier"/>
                <w:sz w:val="24"/>
              </w:rPr>
              <w:t>10.11</w:t>
            </w:r>
          </w:p>
        </w:tc>
        <w:tc>
          <w:tcPr>
            <w:tcW w:w="7135" w:type="dxa"/>
          </w:tcPr>
          <w:p w:rsidR="005720B6" w:rsidRPr="00C35DBA" w:rsidRDefault="005720B6" w:rsidP="00251D02">
            <w:pPr>
              <w:pStyle w:val="JUSTIFICADO"/>
              <w:spacing w:line="-240" w:lineRule="auto"/>
            </w:pPr>
            <w:r>
              <w:t>Aprobación del expediente de contratación de obras de urbanización de la calle Peninsular.</w:t>
            </w:r>
          </w:p>
        </w:tc>
      </w:tr>
    </w:tbl>
    <w:p w:rsidR="005720B6" w:rsidRDefault="005720B6" w:rsidP="005720B6">
      <w:pPr>
        <w:jc w:val="both"/>
        <w:rPr>
          <w:rFonts w:ascii="Courier" w:hAnsi="Courier"/>
          <w:sz w:val="24"/>
        </w:rPr>
      </w:pPr>
    </w:p>
    <w:tbl>
      <w:tblPr>
        <w:tblW w:w="0" w:type="auto"/>
        <w:tblInd w:w="496" w:type="dxa"/>
        <w:tblLayout w:type="fixed"/>
        <w:tblCellMar>
          <w:left w:w="70" w:type="dxa"/>
          <w:right w:w="70" w:type="dxa"/>
        </w:tblCellMar>
        <w:tblLook w:val="0000"/>
      </w:tblPr>
      <w:tblGrid>
        <w:gridCol w:w="944"/>
        <w:gridCol w:w="7135"/>
      </w:tblGrid>
      <w:tr w:rsidR="005720B6" w:rsidRPr="00C35DBA" w:rsidTr="005720B6">
        <w:tblPrEx>
          <w:tblCellMar>
            <w:top w:w="0" w:type="dxa"/>
            <w:bottom w:w="0" w:type="dxa"/>
          </w:tblCellMar>
        </w:tblPrEx>
        <w:tc>
          <w:tcPr>
            <w:tcW w:w="944" w:type="dxa"/>
          </w:tcPr>
          <w:p w:rsidR="005720B6" w:rsidRPr="00C35DBA" w:rsidRDefault="005720B6" w:rsidP="005720B6">
            <w:pPr>
              <w:spacing w:line="-240" w:lineRule="auto"/>
              <w:jc w:val="both"/>
              <w:rPr>
                <w:rFonts w:ascii="Courier" w:hAnsi="Courier"/>
                <w:sz w:val="24"/>
              </w:rPr>
            </w:pPr>
            <w:r>
              <w:rPr>
                <w:rFonts w:ascii="Courier" w:hAnsi="Courier"/>
                <w:sz w:val="24"/>
              </w:rPr>
              <w:t>10.12</w:t>
            </w:r>
          </w:p>
        </w:tc>
        <w:tc>
          <w:tcPr>
            <w:tcW w:w="7135" w:type="dxa"/>
          </w:tcPr>
          <w:p w:rsidR="005720B6" w:rsidRPr="00C35DBA" w:rsidRDefault="005720B6" w:rsidP="00251D02">
            <w:pPr>
              <w:pStyle w:val="JUSTIFICADO"/>
              <w:spacing w:line="-240" w:lineRule="auto"/>
            </w:pPr>
            <w:r>
              <w:t>Aprobación del expediente de contratación de obras de urbanización de la calle Cobre.</w:t>
            </w:r>
          </w:p>
        </w:tc>
      </w:tr>
    </w:tbl>
    <w:p w:rsidR="005720B6" w:rsidRDefault="005720B6" w:rsidP="005720B6">
      <w:pPr>
        <w:jc w:val="both"/>
        <w:rPr>
          <w:rFonts w:ascii="Courier" w:hAnsi="Courier"/>
          <w:sz w:val="24"/>
        </w:rPr>
      </w:pPr>
    </w:p>
    <w:tbl>
      <w:tblPr>
        <w:tblW w:w="0" w:type="auto"/>
        <w:tblInd w:w="496" w:type="dxa"/>
        <w:tblLayout w:type="fixed"/>
        <w:tblCellMar>
          <w:left w:w="70" w:type="dxa"/>
          <w:right w:w="70" w:type="dxa"/>
        </w:tblCellMar>
        <w:tblLook w:val="0000"/>
      </w:tblPr>
      <w:tblGrid>
        <w:gridCol w:w="944"/>
        <w:gridCol w:w="7135"/>
      </w:tblGrid>
      <w:tr w:rsidR="005720B6" w:rsidRPr="00C35DBA" w:rsidTr="00251D02">
        <w:tblPrEx>
          <w:tblCellMar>
            <w:top w:w="0" w:type="dxa"/>
            <w:bottom w:w="0" w:type="dxa"/>
          </w:tblCellMar>
        </w:tblPrEx>
        <w:tc>
          <w:tcPr>
            <w:tcW w:w="944" w:type="dxa"/>
          </w:tcPr>
          <w:p w:rsidR="005720B6" w:rsidRPr="00C35DBA" w:rsidRDefault="005720B6" w:rsidP="005720B6">
            <w:pPr>
              <w:spacing w:line="-240" w:lineRule="auto"/>
              <w:jc w:val="both"/>
              <w:rPr>
                <w:rFonts w:ascii="Courier" w:hAnsi="Courier"/>
                <w:sz w:val="24"/>
              </w:rPr>
            </w:pPr>
            <w:r>
              <w:rPr>
                <w:rFonts w:ascii="Courier" w:hAnsi="Courier"/>
                <w:sz w:val="24"/>
              </w:rPr>
              <w:t>10.13</w:t>
            </w:r>
          </w:p>
        </w:tc>
        <w:tc>
          <w:tcPr>
            <w:tcW w:w="7135" w:type="dxa"/>
          </w:tcPr>
          <w:p w:rsidR="005720B6" w:rsidRPr="00C35DBA" w:rsidRDefault="005720B6" w:rsidP="00251D02">
            <w:pPr>
              <w:pStyle w:val="JUSTIFICADO"/>
              <w:spacing w:line="-240" w:lineRule="auto"/>
            </w:pPr>
            <w:r>
              <w:t>Aprobación del expediente de contratación del servicio para las reformas y conservación de infraestructuras en zonas verdes de los barrios de Valladolid.</w:t>
            </w:r>
          </w:p>
        </w:tc>
      </w:tr>
    </w:tbl>
    <w:p w:rsidR="005720B6" w:rsidRDefault="005720B6" w:rsidP="005720B6">
      <w:pPr>
        <w:jc w:val="both"/>
        <w:rPr>
          <w:rFonts w:ascii="Courier" w:hAnsi="Courier"/>
          <w:sz w:val="24"/>
        </w:rPr>
      </w:pPr>
    </w:p>
    <w:tbl>
      <w:tblPr>
        <w:tblW w:w="0" w:type="auto"/>
        <w:tblInd w:w="496" w:type="dxa"/>
        <w:tblLayout w:type="fixed"/>
        <w:tblCellMar>
          <w:left w:w="70" w:type="dxa"/>
          <w:right w:w="70" w:type="dxa"/>
        </w:tblCellMar>
        <w:tblLook w:val="0000"/>
      </w:tblPr>
      <w:tblGrid>
        <w:gridCol w:w="944"/>
        <w:gridCol w:w="7135"/>
      </w:tblGrid>
      <w:tr w:rsidR="005720B6" w:rsidRPr="00C35DBA" w:rsidTr="00251D02">
        <w:tblPrEx>
          <w:tblCellMar>
            <w:top w:w="0" w:type="dxa"/>
            <w:bottom w:w="0" w:type="dxa"/>
          </w:tblCellMar>
        </w:tblPrEx>
        <w:tc>
          <w:tcPr>
            <w:tcW w:w="944" w:type="dxa"/>
          </w:tcPr>
          <w:p w:rsidR="005720B6" w:rsidRPr="00C35DBA" w:rsidRDefault="005720B6" w:rsidP="005720B6">
            <w:pPr>
              <w:spacing w:line="-240" w:lineRule="auto"/>
              <w:jc w:val="both"/>
              <w:rPr>
                <w:rFonts w:ascii="Courier" w:hAnsi="Courier"/>
                <w:sz w:val="24"/>
              </w:rPr>
            </w:pPr>
            <w:r>
              <w:rPr>
                <w:rFonts w:ascii="Courier" w:hAnsi="Courier"/>
                <w:sz w:val="24"/>
              </w:rPr>
              <w:t>10.14</w:t>
            </w:r>
          </w:p>
        </w:tc>
        <w:tc>
          <w:tcPr>
            <w:tcW w:w="7135" w:type="dxa"/>
          </w:tcPr>
          <w:p w:rsidR="005720B6" w:rsidRPr="00C35DBA" w:rsidRDefault="005720B6" w:rsidP="00251D02">
            <w:pPr>
              <w:pStyle w:val="JUSTIFICADO"/>
              <w:spacing w:line="-240" w:lineRule="auto"/>
            </w:pPr>
            <w:r>
              <w:t>Aprobación del expediente de contratación de las obras de adaptación de las instalaciones del Servicio de Limpieza del Ayuntamiento de Valladolid para poder alojar y reparar vehículos propulsados con gas natural comprimido (GNC).</w:t>
            </w:r>
          </w:p>
        </w:tc>
      </w:tr>
    </w:tbl>
    <w:p w:rsidR="005720B6" w:rsidRDefault="005720B6" w:rsidP="005720B6">
      <w:pPr>
        <w:jc w:val="both"/>
        <w:rPr>
          <w:rFonts w:ascii="Courier" w:hAnsi="Courier"/>
          <w:sz w:val="24"/>
        </w:rPr>
      </w:pPr>
    </w:p>
    <w:tbl>
      <w:tblPr>
        <w:tblW w:w="0" w:type="auto"/>
        <w:tblInd w:w="496" w:type="dxa"/>
        <w:tblLayout w:type="fixed"/>
        <w:tblCellMar>
          <w:left w:w="70" w:type="dxa"/>
          <w:right w:w="70" w:type="dxa"/>
        </w:tblCellMar>
        <w:tblLook w:val="0000"/>
      </w:tblPr>
      <w:tblGrid>
        <w:gridCol w:w="944"/>
        <w:gridCol w:w="7135"/>
      </w:tblGrid>
      <w:tr w:rsidR="005720B6" w:rsidRPr="00C35DBA" w:rsidTr="00251D02">
        <w:tblPrEx>
          <w:tblCellMar>
            <w:top w:w="0" w:type="dxa"/>
            <w:bottom w:w="0" w:type="dxa"/>
          </w:tblCellMar>
        </w:tblPrEx>
        <w:tc>
          <w:tcPr>
            <w:tcW w:w="944" w:type="dxa"/>
          </w:tcPr>
          <w:p w:rsidR="005720B6" w:rsidRPr="00C35DBA" w:rsidRDefault="005720B6" w:rsidP="005720B6">
            <w:pPr>
              <w:spacing w:line="-240" w:lineRule="auto"/>
              <w:jc w:val="both"/>
              <w:rPr>
                <w:rFonts w:ascii="Courier" w:hAnsi="Courier"/>
                <w:sz w:val="24"/>
              </w:rPr>
            </w:pPr>
            <w:r>
              <w:rPr>
                <w:rFonts w:ascii="Courier" w:hAnsi="Courier"/>
                <w:sz w:val="24"/>
              </w:rPr>
              <w:t>10.15</w:t>
            </w:r>
          </w:p>
        </w:tc>
        <w:tc>
          <w:tcPr>
            <w:tcW w:w="7135" w:type="dxa"/>
          </w:tcPr>
          <w:p w:rsidR="005720B6" w:rsidRPr="00C35DBA" w:rsidRDefault="005720B6" w:rsidP="00251D02">
            <w:pPr>
              <w:pStyle w:val="JUSTIFICADO"/>
              <w:spacing w:line="-240" w:lineRule="auto"/>
            </w:pPr>
            <w:r>
              <w:t>Aprobación del expediente de contratación de las obras de infraestructuras para el sistema de vialidad invernal del Ayuntamiento de Valladolid.</w:t>
            </w:r>
          </w:p>
        </w:tc>
      </w:tr>
    </w:tbl>
    <w:p w:rsidR="005720B6" w:rsidRDefault="005720B6" w:rsidP="005720B6">
      <w:pPr>
        <w:jc w:val="both"/>
        <w:rPr>
          <w:rFonts w:ascii="Courier" w:hAnsi="Courier"/>
          <w:sz w:val="24"/>
        </w:rPr>
      </w:pPr>
    </w:p>
    <w:p w:rsidR="00863592" w:rsidRDefault="00863592">
      <w:pPr>
        <w:jc w:val="both"/>
        <w:rPr>
          <w:rFonts w:ascii="Courier" w:hAnsi="Courier"/>
          <w:sz w:val="24"/>
        </w:rPr>
      </w:pPr>
    </w:p>
    <w:p w:rsidR="005F3F4C" w:rsidRDefault="005F3F4C">
      <w:pPr>
        <w:jc w:val="both"/>
        <w:rPr>
          <w:rFonts w:ascii="Courier" w:hAnsi="Courier"/>
          <w:sz w:val="24"/>
        </w:rPr>
      </w:pPr>
    </w:p>
    <w:sectPr w:rsidR="005F3F4C">
      <w:headerReference w:type="default" r:id="rId6"/>
      <w:footnotePr>
        <w:numRestart w:val="eachSect"/>
      </w:footnotePr>
      <w:pgSz w:w="11907" w:h="16840" w:code="9"/>
      <w:pgMar w:top="1418" w:right="1701" w:bottom="1418" w:left="1701" w:header="703" w:footer="70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98F" w:rsidRDefault="008B498F">
      <w:r>
        <w:separator/>
      </w:r>
    </w:p>
  </w:endnote>
  <w:endnote w:type="continuationSeparator" w:id="0">
    <w:p w:rsidR="008B498F" w:rsidRDefault="008B4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98F" w:rsidRDefault="008B498F">
      <w:r>
        <w:separator/>
      </w:r>
    </w:p>
  </w:footnote>
  <w:footnote w:type="continuationSeparator" w:id="0">
    <w:p w:rsidR="008B498F" w:rsidRDefault="008B4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B57" w:rsidRDefault="009E0B57">
    <w:pPr>
      <w:pStyle w:val="Encabezado"/>
      <w:jc w:val="center"/>
      <w:rPr>
        <w:rFonts w:ascii="Courier" w:hAnsi="Courier"/>
        <w:sz w:val="24"/>
      </w:rPr>
    </w:pPr>
    <w:r>
      <w:rPr>
        <w:rStyle w:val="Nmerodepgina"/>
        <w:rFonts w:ascii="Courier" w:hAnsi="Courier"/>
        <w:sz w:val="24"/>
      </w:rPr>
      <w:fldChar w:fldCharType="begin"/>
    </w:r>
    <w:r>
      <w:rPr>
        <w:rStyle w:val="Nmerodepgina"/>
        <w:rFonts w:ascii="Courier" w:hAnsi="Courier"/>
        <w:sz w:val="24"/>
      </w:rPr>
      <w:instrText xml:space="preserve"> PAGE </w:instrText>
    </w:r>
    <w:r>
      <w:rPr>
        <w:rStyle w:val="Nmerodepgina"/>
        <w:rFonts w:ascii="Courier" w:hAnsi="Courier"/>
        <w:sz w:val="24"/>
      </w:rPr>
      <w:fldChar w:fldCharType="separate"/>
    </w:r>
    <w:r w:rsidR="00C7142D">
      <w:rPr>
        <w:rStyle w:val="Nmerodepgina"/>
        <w:rFonts w:ascii="Courier" w:hAnsi="Courier"/>
        <w:noProof/>
        <w:sz w:val="24"/>
      </w:rPr>
      <w:t>2</w:t>
    </w:r>
    <w:r>
      <w:rPr>
        <w:rStyle w:val="Nmerodepgina"/>
        <w:rFonts w:ascii="Courier" w:hAnsi="Courier"/>
        <w:sz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697"/>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rsids>
    <w:rsidRoot w:val="00974D28"/>
    <w:rsid w:val="00001F7B"/>
    <w:rsid w:val="00006881"/>
    <w:rsid w:val="00016D66"/>
    <w:rsid w:val="000172A4"/>
    <w:rsid w:val="00017B5D"/>
    <w:rsid w:val="00020930"/>
    <w:rsid w:val="000222DD"/>
    <w:rsid w:val="00022F55"/>
    <w:rsid w:val="00024920"/>
    <w:rsid w:val="00025BED"/>
    <w:rsid w:val="00026403"/>
    <w:rsid w:val="00036DD9"/>
    <w:rsid w:val="000523A9"/>
    <w:rsid w:val="000539FF"/>
    <w:rsid w:val="000612E5"/>
    <w:rsid w:val="0006240B"/>
    <w:rsid w:val="0006416A"/>
    <w:rsid w:val="00070D19"/>
    <w:rsid w:val="00083A16"/>
    <w:rsid w:val="00083CFD"/>
    <w:rsid w:val="00086EBB"/>
    <w:rsid w:val="00090211"/>
    <w:rsid w:val="000B1EC2"/>
    <w:rsid w:val="000B759E"/>
    <w:rsid w:val="000C1F38"/>
    <w:rsid w:val="000C60FC"/>
    <w:rsid w:val="000D0469"/>
    <w:rsid w:val="000D14D7"/>
    <w:rsid w:val="000D44F3"/>
    <w:rsid w:val="000D7E2C"/>
    <w:rsid w:val="000E1C10"/>
    <w:rsid w:val="00100D00"/>
    <w:rsid w:val="001043A8"/>
    <w:rsid w:val="0010752E"/>
    <w:rsid w:val="00112680"/>
    <w:rsid w:val="001160E6"/>
    <w:rsid w:val="00117705"/>
    <w:rsid w:val="001252CB"/>
    <w:rsid w:val="001306AA"/>
    <w:rsid w:val="00133728"/>
    <w:rsid w:val="00135B87"/>
    <w:rsid w:val="00136A16"/>
    <w:rsid w:val="0013799F"/>
    <w:rsid w:val="00137D61"/>
    <w:rsid w:val="00140A41"/>
    <w:rsid w:val="001475A0"/>
    <w:rsid w:val="00151BF2"/>
    <w:rsid w:val="00152F2C"/>
    <w:rsid w:val="00157B48"/>
    <w:rsid w:val="00160A07"/>
    <w:rsid w:val="001632B9"/>
    <w:rsid w:val="001726E4"/>
    <w:rsid w:val="001855F9"/>
    <w:rsid w:val="001860E6"/>
    <w:rsid w:val="0019418A"/>
    <w:rsid w:val="001979F3"/>
    <w:rsid w:val="001A04E2"/>
    <w:rsid w:val="001A3D3E"/>
    <w:rsid w:val="001B6166"/>
    <w:rsid w:val="001C7C05"/>
    <w:rsid w:val="001D642D"/>
    <w:rsid w:val="001E1024"/>
    <w:rsid w:val="001E3B9F"/>
    <w:rsid w:val="001E3EC1"/>
    <w:rsid w:val="001E7E6A"/>
    <w:rsid w:val="001F1DDE"/>
    <w:rsid w:val="001F5622"/>
    <w:rsid w:val="001F5EE5"/>
    <w:rsid w:val="00200AAB"/>
    <w:rsid w:val="0020356C"/>
    <w:rsid w:val="00204A7E"/>
    <w:rsid w:val="002076EE"/>
    <w:rsid w:val="00211BBA"/>
    <w:rsid w:val="002146C4"/>
    <w:rsid w:val="00227CB1"/>
    <w:rsid w:val="00231029"/>
    <w:rsid w:val="0023305C"/>
    <w:rsid w:val="002360ED"/>
    <w:rsid w:val="00242819"/>
    <w:rsid w:val="00243EBB"/>
    <w:rsid w:val="0024446A"/>
    <w:rsid w:val="00250438"/>
    <w:rsid w:val="002510A3"/>
    <w:rsid w:val="00251D02"/>
    <w:rsid w:val="00252F99"/>
    <w:rsid w:val="002531D3"/>
    <w:rsid w:val="00253205"/>
    <w:rsid w:val="00253D66"/>
    <w:rsid w:val="00260AC0"/>
    <w:rsid w:val="0026446B"/>
    <w:rsid w:val="00265941"/>
    <w:rsid w:val="00267969"/>
    <w:rsid w:val="002750C3"/>
    <w:rsid w:val="0028522E"/>
    <w:rsid w:val="002B28F9"/>
    <w:rsid w:val="002B292E"/>
    <w:rsid w:val="002B2DFE"/>
    <w:rsid w:val="002B6E11"/>
    <w:rsid w:val="002B725E"/>
    <w:rsid w:val="002D46A4"/>
    <w:rsid w:val="002D66CA"/>
    <w:rsid w:val="002D7689"/>
    <w:rsid w:val="002E0EEA"/>
    <w:rsid w:val="002E3948"/>
    <w:rsid w:val="002E5EC0"/>
    <w:rsid w:val="002F07E0"/>
    <w:rsid w:val="002F35D6"/>
    <w:rsid w:val="002F760C"/>
    <w:rsid w:val="00303293"/>
    <w:rsid w:val="00306F9B"/>
    <w:rsid w:val="00311477"/>
    <w:rsid w:val="0031558F"/>
    <w:rsid w:val="003172A8"/>
    <w:rsid w:val="00322487"/>
    <w:rsid w:val="00327D75"/>
    <w:rsid w:val="00330184"/>
    <w:rsid w:val="0033297A"/>
    <w:rsid w:val="00336804"/>
    <w:rsid w:val="003470E7"/>
    <w:rsid w:val="00347E7C"/>
    <w:rsid w:val="003521C3"/>
    <w:rsid w:val="00355EB4"/>
    <w:rsid w:val="00356BF7"/>
    <w:rsid w:val="00356E2B"/>
    <w:rsid w:val="00371607"/>
    <w:rsid w:val="0037359E"/>
    <w:rsid w:val="00375C5A"/>
    <w:rsid w:val="003871B5"/>
    <w:rsid w:val="00387A4A"/>
    <w:rsid w:val="0039006C"/>
    <w:rsid w:val="00390DE5"/>
    <w:rsid w:val="00392206"/>
    <w:rsid w:val="0039375D"/>
    <w:rsid w:val="0039548A"/>
    <w:rsid w:val="003A1456"/>
    <w:rsid w:val="003A65CD"/>
    <w:rsid w:val="003B0313"/>
    <w:rsid w:val="003B39DC"/>
    <w:rsid w:val="003B48F0"/>
    <w:rsid w:val="003C1884"/>
    <w:rsid w:val="003C6DCC"/>
    <w:rsid w:val="003D4B8F"/>
    <w:rsid w:val="003E3BDC"/>
    <w:rsid w:val="003E52CF"/>
    <w:rsid w:val="003E5E20"/>
    <w:rsid w:val="003E5EF2"/>
    <w:rsid w:val="003F0C05"/>
    <w:rsid w:val="003F0D34"/>
    <w:rsid w:val="003F16F8"/>
    <w:rsid w:val="003F2767"/>
    <w:rsid w:val="003F28CE"/>
    <w:rsid w:val="003F437A"/>
    <w:rsid w:val="003F4C91"/>
    <w:rsid w:val="003F6A40"/>
    <w:rsid w:val="003F7288"/>
    <w:rsid w:val="00406536"/>
    <w:rsid w:val="00411F01"/>
    <w:rsid w:val="00415AFB"/>
    <w:rsid w:val="00420325"/>
    <w:rsid w:val="00441BB4"/>
    <w:rsid w:val="00443453"/>
    <w:rsid w:val="00445A55"/>
    <w:rsid w:val="00450D5C"/>
    <w:rsid w:val="00455EDD"/>
    <w:rsid w:val="00463D04"/>
    <w:rsid w:val="00466C70"/>
    <w:rsid w:val="0047139E"/>
    <w:rsid w:val="00475DF2"/>
    <w:rsid w:val="00481679"/>
    <w:rsid w:val="00481728"/>
    <w:rsid w:val="004918FB"/>
    <w:rsid w:val="004A12F3"/>
    <w:rsid w:val="004A29C8"/>
    <w:rsid w:val="004B6190"/>
    <w:rsid w:val="004C7520"/>
    <w:rsid w:val="004D41C5"/>
    <w:rsid w:val="004E218B"/>
    <w:rsid w:val="004E597E"/>
    <w:rsid w:val="004E6075"/>
    <w:rsid w:val="004E6633"/>
    <w:rsid w:val="004F1D02"/>
    <w:rsid w:val="004F2A13"/>
    <w:rsid w:val="004F388F"/>
    <w:rsid w:val="00500688"/>
    <w:rsid w:val="00502C61"/>
    <w:rsid w:val="005108FB"/>
    <w:rsid w:val="00511C27"/>
    <w:rsid w:val="00512DCA"/>
    <w:rsid w:val="00513986"/>
    <w:rsid w:val="00514ED9"/>
    <w:rsid w:val="00522E09"/>
    <w:rsid w:val="0053499F"/>
    <w:rsid w:val="00543699"/>
    <w:rsid w:val="00543A30"/>
    <w:rsid w:val="00551C00"/>
    <w:rsid w:val="00556811"/>
    <w:rsid w:val="00557D55"/>
    <w:rsid w:val="00571677"/>
    <w:rsid w:val="005720B6"/>
    <w:rsid w:val="00581DC6"/>
    <w:rsid w:val="00582826"/>
    <w:rsid w:val="00584E84"/>
    <w:rsid w:val="00597A27"/>
    <w:rsid w:val="005A1515"/>
    <w:rsid w:val="005A6566"/>
    <w:rsid w:val="005B23E0"/>
    <w:rsid w:val="005B67A6"/>
    <w:rsid w:val="005C0168"/>
    <w:rsid w:val="005C0C48"/>
    <w:rsid w:val="005C1591"/>
    <w:rsid w:val="005C1AED"/>
    <w:rsid w:val="005C6D83"/>
    <w:rsid w:val="005D1AEF"/>
    <w:rsid w:val="005D2DBA"/>
    <w:rsid w:val="005D5B7E"/>
    <w:rsid w:val="005D7E5C"/>
    <w:rsid w:val="005E1B3A"/>
    <w:rsid w:val="005F3F4C"/>
    <w:rsid w:val="005F44C0"/>
    <w:rsid w:val="005F4812"/>
    <w:rsid w:val="005F7C1E"/>
    <w:rsid w:val="00603DCA"/>
    <w:rsid w:val="006052D9"/>
    <w:rsid w:val="00605857"/>
    <w:rsid w:val="00607ABF"/>
    <w:rsid w:val="0061147A"/>
    <w:rsid w:val="006130AC"/>
    <w:rsid w:val="00617954"/>
    <w:rsid w:val="006201F3"/>
    <w:rsid w:val="00620DDF"/>
    <w:rsid w:val="006317C6"/>
    <w:rsid w:val="00631F68"/>
    <w:rsid w:val="00635508"/>
    <w:rsid w:val="00637588"/>
    <w:rsid w:val="00640900"/>
    <w:rsid w:val="00643347"/>
    <w:rsid w:val="00665B4C"/>
    <w:rsid w:val="00666985"/>
    <w:rsid w:val="0067021C"/>
    <w:rsid w:val="0067061A"/>
    <w:rsid w:val="00670976"/>
    <w:rsid w:val="00680923"/>
    <w:rsid w:val="00681273"/>
    <w:rsid w:val="00685CDF"/>
    <w:rsid w:val="00687808"/>
    <w:rsid w:val="00690479"/>
    <w:rsid w:val="00693323"/>
    <w:rsid w:val="00693DC0"/>
    <w:rsid w:val="00694258"/>
    <w:rsid w:val="0069438F"/>
    <w:rsid w:val="0069717F"/>
    <w:rsid w:val="006A25F8"/>
    <w:rsid w:val="006A60F8"/>
    <w:rsid w:val="006B0F5D"/>
    <w:rsid w:val="006B3A24"/>
    <w:rsid w:val="006B5577"/>
    <w:rsid w:val="006B764D"/>
    <w:rsid w:val="006D559E"/>
    <w:rsid w:val="006D6CF8"/>
    <w:rsid w:val="006D6FC6"/>
    <w:rsid w:val="006F10F6"/>
    <w:rsid w:val="006F1595"/>
    <w:rsid w:val="006F3A9D"/>
    <w:rsid w:val="0070138E"/>
    <w:rsid w:val="00717F31"/>
    <w:rsid w:val="00720C69"/>
    <w:rsid w:val="007235FA"/>
    <w:rsid w:val="00751725"/>
    <w:rsid w:val="00752E2F"/>
    <w:rsid w:val="007549CF"/>
    <w:rsid w:val="00754AAC"/>
    <w:rsid w:val="0076124B"/>
    <w:rsid w:val="00761B43"/>
    <w:rsid w:val="0076359F"/>
    <w:rsid w:val="00764F77"/>
    <w:rsid w:val="00771875"/>
    <w:rsid w:val="0077371F"/>
    <w:rsid w:val="00774975"/>
    <w:rsid w:val="00776792"/>
    <w:rsid w:val="007809CE"/>
    <w:rsid w:val="007850E8"/>
    <w:rsid w:val="007968E5"/>
    <w:rsid w:val="007A007C"/>
    <w:rsid w:val="007A0BD2"/>
    <w:rsid w:val="007A2909"/>
    <w:rsid w:val="007C3F8D"/>
    <w:rsid w:val="007C59CD"/>
    <w:rsid w:val="007C7BB2"/>
    <w:rsid w:val="007C7E6D"/>
    <w:rsid w:val="007D114C"/>
    <w:rsid w:val="007D38BC"/>
    <w:rsid w:val="007E0AEE"/>
    <w:rsid w:val="007E0FE2"/>
    <w:rsid w:val="007E2725"/>
    <w:rsid w:val="007F1025"/>
    <w:rsid w:val="007F33BD"/>
    <w:rsid w:val="007F34E3"/>
    <w:rsid w:val="00802F61"/>
    <w:rsid w:val="008051D5"/>
    <w:rsid w:val="0080685F"/>
    <w:rsid w:val="008074C3"/>
    <w:rsid w:val="00810F1C"/>
    <w:rsid w:val="008123CA"/>
    <w:rsid w:val="00812B18"/>
    <w:rsid w:val="00815E91"/>
    <w:rsid w:val="0082038E"/>
    <w:rsid w:val="008226C4"/>
    <w:rsid w:val="008365FD"/>
    <w:rsid w:val="008435E7"/>
    <w:rsid w:val="00856F78"/>
    <w:rsid w:val="00857E6D"/>
    <w:rsid w:val="00862AD7"/>
    <w:rsid w:val="00863592"/>
    <w:rsid w:val="00865455"/>
    <w:rsid w:val="008656EF"/>
    <w:rsid w:val="0087246C"/>
    <w:rsid w:val="00876ADF"/>
    <w:rsid w:val="00890599"/>
    <w:rsid w:val="00890B83"/>
    <w:rsid w:val="00892470"/>
    <w:rsid w:val="00896A00"/>
    <w:rsid w:val="008A1C51"/>
    <w:rsid w:val="008B0EF9"/>
    <w:rsid w:val="008B2604"/>
    <w:rsid w:val="008B3277"/>
    <w:rsid w:val="008B3ABD"/>
    <w:rsid w:val="008B498F"/>
    <w:rsid w:val="008C0FE6"/>
    <w:rsid w:val="008C1274"/>
    <w:rsid w:val="008C1BC2"/>
    <w:rsid w:val="008D0F8B"/>
    <w:rsid w:val="008D1D2C"/>
    <w:rsid w:val="008D2051"/>
    <w:rsid w:val="00901C14"/>
    <w:rsid w:val="009042E4"/>
    <w:rsid w:val="00911F12"/>
    <w:rsid w:val="00914834"/>
    <w:rsid w:val="00924586"/>
    <w:rsid w:val="00941144"/>
    <w:rsid w:val="00944578"/>
    <w:rsid w:val="009471E9"/>
    <w:rsid w:val="00961E08"/>
    <w:rsid w:val="0097494D"/>
    <w:rsid w:val="00974D28"/>
    <w:rsid w:val="009869F5"/>
    <w:rsid w:val="0099038B"/>
    <w:rsid w:val="00992B64"/>
    <w:rsid w:val="00994008"/>
    <w:rsid w:val="00994326"/>
    <w:rsid w:val="00997EAD"/>
    <w:rsid w:val="009A0A00"/>
    <w:rsid w:val="009A1E95"/>
    <w:rsid w:val="009A4242"/>
    <w:rsid w:val="009C1C28"/>
    <w:rsid w:val="009C44DC"/>
    <w:rsid w:val="009C5758"/>
    <w:rsid w:val="009C5C3F"/>
    <w:rsid w:val="009C677E"/>
    <w:rsid w:val="009E0B57"/>
    <w:rsid w:val="009E2B0C"/>
    <w:rsid w:val="009F359A"/>
    <w:rsid w:val="009F3F66"/>
    <w:rsid w:val="009F4D0F"/>
    <w:rsid w:val="009F5A30"/>
    <w:rsid w:val="009F5A91"/>
    <w:rsid w:val="009F7F6C"/>
    <w:rsid w:val="00A01EDC"/>
    <w:rsid w:val="00A15B8E"/>
    <w:rsid w:val="00A2284D"/>
    <w:rsid w:val="00A31DDC"/>
    <w:rsid w:val="00A3308C"/>
    <w:rsid w:val="00A33092"/>
    <w:rsid w:val="00A37ABA"/>
    <w:rsid w:val="00A40455"/>
    <w:rsid w:val="00A42FB6"/>
    <w:rsid w:val="00A4303D"/>
    <w:rsid w:val="00A433CB"/>
    <w:rsid w:val="00A559FA"/>
    <w:rsid w:val="00A605A5"/>
    <w:rsid w:val="00A616BF"/>
    <w:rsid w:val="00A66C7D"/>
    <w:rsid w:val="00A6780F"/>
    <w:rsid w:val="00A72FD6"/>
    <w:rsid w:val="00A805D7"/>
    <w:rsid w:val="00A823C2"/>
    <w:rsid w:val="00A85266"/>
    <w:rsid w:val="00A860EA"/>
    <w:rsid w:val="00A86B83"/>
    <w:rsid w:val="00A86FD9"/>
    <w:rsid w:val="00A91A8C"/>
    <w:rsid w:val="00AA26E7"/>
    <w:rsid w:val="00AA2D24"/>
    <w:rsid w:val="00AA320F"/>
    <w:rsid w:val="00AA5932"/>
    <w:rsid w:val="00AB1B38"/>
    <w:rsid w:val="00AB2D11"/>
    <w:rsid w:val="00AB4B3F"/>
    <w:rsid w:val="00AC0FB7"/>
    <w:rsid w:val="00AC1B00"/>
    <w:rsid w:val="00AD4608"/>
    <w:rsid w:val="00AE0437"/>
    <w:rsid w:val="00AF56E4"/>
    <w:rsid w:val="00B0120C"/>
    <w:rsid w:val="00B05CA5"/>
    <w:rsid w:val="00B24F0D"/>
    <w:rsid w:val="00B35F31"/>
    <w:rsid w:val="00B3758E"/>
    <w:rsid w:val="00B520C1"/>
    <w:rsid w:val="00B53A58"/>
    <w:rsid w:val="00B61185"/>
    <w:rsid w:val="00B61C61"/>
    <w:rsid w:val="00B61F37"/>
    <w:rsid w:val="00B65415"/>
    <w:rsid w:val="00B67359"/>
    <w:rsid w:val="00B76B7E"/>
    <w:rsid w:val="00B9636A"/>
    <w:rsid w:val="00BB25EA"/>
    <w:rsid w:val="00BC020A"/>
    <w:rsid w:val="00BC0E9D"/>
    <w:rsid w:val="00BC127A"/>
    <w:rsid w:val="00BC444D"/>
    <w:rsid w:val="00BC6E44"/>
    <w:rsid w:val="00BC78CF"/>
    <w:rsid w:val="00BD04A0"/>
    <w:rsid w:val="00BD1E6C"/>
    <w:rsid w:val="00BD3422"/>
    <w:rsid w:val="00BF04C0"/>
    <w:rsid w:val="00BF38A8"/>
    <w:rsid w:val="00BF40CB"/>
    <w:rsid w:val="00BF6A53"/>
    <w:rsid w:val="00C03C0F"/>
    <w:rsid w:val="00C045F3"/>
    <w:rsid w:val="00C202DB"/>
    <w:rsid w:val="00C25F31"/>
    <w:rsid w:val="00C30B17"/>
    <w:rsid w:val="00C3222C"/>
    <w:rsid w:val="00C351D2"/>
    <w:rsid w:val="00C35DBA"/>
    <w:rsid w:val="00C3670B"/>
    <w:rsid w:val="00C43935"/>
    <w:rsid w:val="00C51BDA"/>
    <w:rsid w:val="00C6075A"/>
    <w:rsid w:val="00C6371F"/>
    <w:rsid w:val="00C67AF5"/>
    <w:rsid w:val="00C7142D"/>
    <w:rsid w:val="00C85C8C"/>
    <w:rsid w:val="00C91306"/>
    <w:rsid w:val="00C92540"/>
    <w:rsid w:val="00CA21DF"/>
    <w:rsid w:val="00CA3FE5"/>
    <w:rsid w:val="00CA6433"/>
    <w:rsid w:val="00CC29A4"/>
    <w:rsid w:val="00CC4D2A"/>
    <w:rsid w:val="00CC5605"/>
    <w:rsid w:val="00CC7870"/>
    <w:rsid w:val="00CD01C4"/>
    <w:rsid w:val="00CD096D"/>
    <w:rsid w:val="00CD0F5A"/>
    <w:rsid w:val="00CD3BC6"/>
    <w:rsid w:val="00CE25BD"/>
    <w:rsid w:val="00CE5671"/>
    <w:rsid w:val="00CE68FD"/>
    <w:rsid w:val="00D013BC"/>
    <w:rsid w:val="00D03E50"/>
    <w:rsid w:val="00D064CE"/>
    <w:rsid w:val="00D10C21"/>
    <w:rsid w:val="00D1502B"/>
    <w:rsid w:val="00D30982"/>
    <w:rsid w:val="00D37574"/>
    <w:rsid w:val="00D41F0A"/>
    <w:rsid w:val="00D508FE"/>
    <w:rsid w:val="00D56C53"/>
    <w:rsid w:val="00D63420"/>
    <w:rsid w:val="00D65749"/>
    <w:rsid w:val="00D723E3"/>
    <w:rsid w:val="00D729AD"/>
    <w:rsid w:val="00D8283F"/>
    <w:rsid w:val="00D9608C"/>
    <w:rsid w:val="00DA2B14"/>
    <w:rsid w:val="00DB5668"/>
    <w:rsid w:val="00DB5DC2"/>
    <w:rsid w:val="00DC403A"/>
    <w:rsid w:val="00DD15E8"/>
    <w:rsid w:val="00DD7280"/>
    <w:rsid w:val="00DD7773"/>
    <w:rsid w:val="00DE1401"/>
    <w:rsid w:val="00DE1A98"/>
    <w:rsid w:val="00DE7C26"/>
    <w:rsid w:val="00DE7C5D"/>
    <w:rsid w:val="00DF082A"/>
    <w:rsid w:val="00DF0AE9"/>
    <w:rsid w:val="00DF0E61"/>
    <w:rsid w:val="00DF1C02"/>
    <w:rsid w:val="00DF3A54"/>
    <w:rsid w:val="00DF5558"/>
    <w:rsid w:val="00DF64F8"/>
    <w:rsid w:val="00DF6B69"/>
    <w:rsid w:val="00E00FB9"/>
    <w:rsid w:val="00E14130"/>
    <w:rsid w:val="00E1458D"/>
    <w:rsid w:val="00E1461E"/>
    <w:rsid w:val="00E23881"/>
    <w:rsid w:val="00E25DCA"/>
    <w:rsid w:val="00E377ED"/>
    <w:rsid w:val="00E41A61"/>
    <w:rsid w:val="00E466C4"/>
    <w:rsid w:val="00E6540B"/>
    <w:rsid w:val="00E66CAA"/>
    <w:rsid w:val="00E6727E"/>
    <w:rsid w:val="00E70863"/>
    <w:rsid w:val="00E71A12"/>
    <w:rsid w:val="00E72477"/>
    <w:rsid w:val="00E76EE7"/>
    <w:rsid w:val="00E8229D"/>
    <w:rsid w:val="00E86634"/>
    <w:rsid w:val="00E87CED"/>
    <w:rsid w:val="00E94571"/>
    <w:rsid w:val="00E9577E"/>
    <w:rsid w:val="00EA6EA8"/>
    <w:rsid w:val="00EB1D13"/>
    <w:rsid w:val="00EB74E8"/>
    <w:rsid w:val="00EC1B34"/>
    <w:rsid w:val="00EC2535"/>
    <w:rsid w:val="00EC67C8"/>
    <w:rsid w:val="00ED4399"/>
    <w:rsid w:val="00ED58A1"/>
    <w:rsid w:val="00EE3F6E"/>
    <w:rsid w:val="00EE5828"/>
    <w:rsid w:val="00EE5C1A"/>
    <w:rsid w:val="00EF0E34"/>
    <w:rsid w:val="00EF2697"/>
    <w:rsid w:val="00EF5331"/>
    <w:rsid w:val="00EF5C8D"/>
    <w:rsid w:val="00F010C4"/>
    <w:rsid w:val="00F025B6"/>
    <w:rsid w:val="00F02C21"/>
    <w:rsid w:val="00F05D86"/>
    <w:rsid w:val="00F154B5"/>
    <w:rsid w:val="00F1772A"/>
    <w:rsid w:val="00F34372"/>
    <w:rsid w:val="00F44398"/>
    <w:rsid w:val="00F445D2"/>
    <w:rsid w:val="00F448E8"/>
    <w:rsid w:val="00F453DD"/>
    <w:rsid w:val="00F50D07"/>
    <w:rsid w:val="00F53BC7"/>
    <w:rsid w:val="00F570AE"/>
    <w:rsid w:val="00F64C37"/>
    <w:rsid w:val="00F72F2E"/>
    <w:rsid w:val="00F743C7"/>
    <w:rsid w:val="00F75F06"/>
    <w:rsid w:val="00F9009F"/>
    <w:rsid w:val="00F910ED"/>
    <w:rsid w:val="00FA1DAA"/>
    <w:rsid w:val="00FB045A"/>
    <w:rsid w:val="00FC05E9"/>
    <w:rsid w:val="00FD0E10"/>
    <w:rsid w:val="00FD3448"/>
    <w:rsid w:val="00FD39CA"/>
    <w:rsid w:val="00FD4961"/>
    <w:rsid w:val="00FD61CB"/>
    <w:rsid w:val="00FD61E1"/>
    <w:rsid w:val="00FD661D"/>
    <w:rsid w:val="00FE46C3"/>
    <w:rsid w:val="00FE598D"/>
    <w:rsid w:val="00FE59DD"/>
    <w:rsid w:val="00FF381E"/>
    <w:rsid w:val="00FF51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NEGRITASUBRAYADO">
    <w:name w:val="NEGRITA SUBRAYADO"/>
    <w:rPr>
      <w:u w:val="single"/>
    </w:rPr>
  </w:style>
  <w:style w:type="character" w:customStyle="1" w:styleId="SUBRAYADOMAYUSCULAS">
    <w:name w:val="SUBRAYADO MAYUSCULAS"/>
    <w:rPr>
      <w:caps/>
    </w:rPr>
  </w:style>
  <w:style w:type="paragraph" w:customStyle="1" w:styleId="PARRAFONORMAL">
    <w:name w:val="PARRAFO NORMAL"/>
    <w:pPr>
      <w:widowControl w:val="0"/>
      <w:spacing w:line="-360" w:lineRule="auto"/>
      <w:ind w:left="720"/>
      <w:jc w:val="both"/>
    </w:pPr>
    <w:rPr>
      <w:rFonts w:ascii="Courier" w:hAnsi="Courier"/>
      <w:sz w:val="24"/>
      <w:lang w:val="es-ES_tradnl"/>
    </w:rPr>
  </w:style>
  <w:style w:type="paragraph" w:customStyle="1" w:styleId="PARRAFONORMALCONSANGRIA">
    <w:name w:val="PARRAFO NORMAL CON SANGRIA"/>
    <w:pPr>
      <w:widowControl w:val="0"/>
      <w:spacing w:line="-360" w:lineRule="auto"/>
      <w:ind w:left="1440"/>
      <w:jc w:val="both"/>
    </w:pPr>
    <w:rPr>
      <w:rFonts w:ascii="Courier" w:hAnsi="Courier"/>
      <w:sz w:val="24"/>
      <w:lang w:val="es-ES_tradnl"/>
    </w:rPr>
  </w:style>
  <w:style w:type="paragraph" w:customStyle="1" w:styleId="JUSTIFICADO">
    <w:name w:val="JUSTIFICADO"/>
    <w:pPr>
      <w:widowControl w:val="0"/>
      <w:spacing w:line="-360" w:lineRule="auto"/>
      <w:jc w:val="both"/>
    </w:pPr>
    <w:rPr>
      <w:rFonts w:ascii="Courier" w:hAnsi="Courier"/>
      <w:sz w:val="24"/>
      <w:lang w:val="es-ES_tradnl"/>
    </w:rPr>
  </w:style>
  <w:style w:type="paragraph" w:customStyle="1" w:styleId="JUSTIFICADOCONSANGRIA">
    <w:name w:val="JUSTIFICADO CON SANGRIA"/>
    <w:pPr>
      <w:widowControl w:val="0"/>
      <w:spacing w:line="-360" w:lineRule="auto"/>
      <w:ind w:left="576"/>
      <w:jc w:val="both"/>
    </w:pPr>
    <w:rPr>
      <w:rFonts w:ascii="Courier" w:hAnsi="Courier"/>
      <w:sz w:val="24"/>
      <w:lang w:val="es-ES_tradnl"/>
    </w:rPr>
  </w:style>
  <w:style w:type="paragraph" w:customStyle="1" w:styleId="CENTRADO">
    <w:name w:val="CENTRADO"/>
    <w:pPr>
      <w:widowControl w:val="0"/>
      <w:jc w:val="both"/>
    </w:pPr>
    <w:rPr>
      <w:rFonts w:ascii="Courier" w:hAnsi="Courier"/>
      <w:sz w:val="24"/>
      <w:lang w:val="es-ES_tradnl"/>
    </w:rPr>
  </w:style>
  <w:style w:type="paragraph" w:customStyle="1" w:styleId="puntuacin">
    <w:name w:val="puntuación"/>
    <w:pPr>
      <w:widowControl w:val="0"/>
      <w:jc w:val="both"/>
    </w:pPr>
    <w:rPr>
      <w:rFonts w:ascii="Courier" w:hAnsi="Courier"/>
      <w:sz w:val="24"/>
      <w:lang w:val="es-ES_tradnl"/>
    </w:rPr>
  </w:style>
  <w:style w:type="paragraph" w:customStyle="1" w:styleId="P6">
    <w:name w:val="P6"/>
    <w:pPr>
      <w:widowControl w:val="0"/>
      <w:ind w:left="720"/>
      <w:jc w:val="both"/>
    </w:pPr>
    <w:rPr>
      <w:rFonts w:ascii="Courier" w:hAnsi="Courier"/>
      <w:sz w:val="24"/>
      <w:lang w:val="es-ES_tradnl"/>
    </w:rPr>
  </w:style>
  <w:style w:type="paragraph" w:customStyle="1" w:styleId="AC">
    <w:name w:val="AC"/>
    <w:pPr>
      <w:widowControl w:val="0"/>
      <w:ind w:left="851"/>
      <w:jc w:val="both"/>
    </w:pPr>
    <w:rPr>
      <w:rFonts w:ascii="Courier" w:hAnsi="Courier"/>
      <w:sz w:val="24"/>
      <w:lang w:val="es-ES_tradn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tulo">
    <w:name w:val="Title"/>
    <w:basedOn w:val="Normal"/>
    <w:qFormat/>
    <w:pPr>
      <w:spacing w:line="-240" w:lineRule="auto"/>
      <w:jc w:val="center"/>
    </w:pPr>
    <w:rPr>
      <w:rFonts w:ascii="Courier" w:hAnsi="Courier"/>
      <w:sz w:val="24"/>
      <w:u w:val="single"/>
    </w:rPr>
  </w:style>
  <w:style w:type="paragraph" w:styleId="Textodeglobo">
    <w:name w:val="Balloon Text"/>
    <w:basedOn w:val="Normal"/>
    <w:semiHidden/>
    <w:rsid w:val="00D508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6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2185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DesExCo</vt:lpstr>
    </vt:vector>
  </TitlesOfParts>
  <Company>Ayuntamiento de Valladolid</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DesExCo</dc:title>
  <dc:creator>Maite.</dc:creator>
  <cp:lastModifiedBy>esandonis</cp:lastModifiedBy>
  <cp:revision>2</cp:revision>
  <cp:lastPrinted>2017-12-28T07:43:00Z</cp:lastPrinted>
  <dcterms:created xsi:type="dcterms:W3CDTF">2017-12-28T13:46:00Z</dcterms:created>
  <dcterms:modified xsi:type="dcterms:W3CDTF">2017-12-28T13:46:00Z</dcterms:modified>
</cp:coreProperties>
</file>