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527D" w14:textId="4D7C74EB" w:rsidR="00D51C8F" w:rsidRPr="007717D1" w:rsidRDefault="00BD55A7" w:rsidP="00D03384">
      <w:pPr>
        <w:shd w:val="clear" w:color="auto" w:fill="FFFFFF"/>
        <w:spacing w:before="300" w:after="240" w:line="240" w:lineRule="auto"/>
        <w:jc w:val="both"/>
        <w:rPr>
          <w:rFonts w:asciiTheme="majorHAnsi" w:eastAsia="Times New Roman" w:hAnsiTheme="majorHAnsi" w:cs="Times New Roman"/>
          <w:b/>
          <w:bCs/>
          <w:color w:val="000000"/>
          <w:lang w:eastAsia="es-ES"/>
        </w:rPr>
      </w:pPr>
      <w:r w:rsidRPr="007717D1">
        <w:rPr>
          <w:rFonts w:asciiTheme="majorHAnsi" w:eastAsia="Times New Roman" w:hAnsiTheme="majorHAnsi" w:cs="Times New Roman"/>
          <w:b/>
          <w:bCs/>
          <w:color w:val="000000"/>
          <w:lang w:eastAsia="es-ES"/>
        </w:rPr>
        <w:t>AUTOCONTROL  DEL CUMPLIMIENTO DE LA NORMATIVA EUROPEA EN MATERIA DE AYUDAS DE ESTADO.</w:t>
      </w:r>
    </w:p>
    <w:p w14:paraId="62C06EE5" w14:textId="77777777" w:rsidR="00BD55A7" w:rsidRPr="007717D1" w:rsidRDefault="00BD55A7" w:rsidP="00D03384">
      <w:pPr>
        <w:shd w:val="clear" w:color="auto" w:fill="FFFFFF"/>
        <w:spacing w:before="300" w:after="240" w:line="240" w:lineRule="auto"/>
        <w:jc w:val="both"/>
        <w:rPr>
          <w:rFonts w:asciiTheme="majorHAnsi" w:eastAsia="Times New Roman" w:hAnsiTheme="majorHAnsi" w:cs="Times New Roman"/>
          <w:b/>
          <w:bCs/>
          <w:color w:val="000000"/>
          <w:lang w:eastAsia="es-ES"/>
        </w:rPr>
      </w:pPr>
    </w:p>
    <w:p w14:paraId="5DA0FFA2" w14:textId="3939C496" w:rsidR="00BD55A7" w:rsidRPr="007717D1" w:rsidRDefault="00BD55A7" w:rsidP="00D03384">
      <w:pPr>
        <w:shd w:val="clear" w:color="auto" w:fill="FFFFFF"/>
        <w:spacing w:before="300" w:after="240" w:line="240" w:lineRule="auto"/>
        <w:jc w:val="both"/>
        <w:rPr>
          <w:rFonts w:asciiTheme="majorHAnsi" w:eastAsia="Times New Roman" w:hAnsiTheme="majorHAnsi" w:cs="Times New Roman"/>
          <w:color w:val="000000"/>
          <w:lang w:eastAsia="es-ES"/>
        </w:rPr>
      </w:pPr>
      <w:r w:rsidRPr="007717D1">
        <w:rPr>
          <w:rFonts w:asciiTheme="majorHAnsi" w:eastAsia="Times New Roman" w:hAnsiTheme="majorHAnsi" w:cs="Times New Roman"/>
          <w:color w:val="000000"/>
          <w:lang w:eastAsia="es-ES"/>
        </w:rPr>
        <w:t xml:space="preserve">El análisis de </w:t>
      </w:r>
      <w:r w:rsidR="007717D1">
        <w:rPr>
          <w:rFonts w:asciiTheme="majorHAnsi" w:eastAsia="Times New Roman" w:hAnsiTheme="majorHAnsi" w:cs="Times New Roman"/>
          <w:color w:val="000000"/>
          <w:lang w:eastAsia="es-ES"/>
        </w:rPr>
        <w:t xml:space="preserve">riesgos </w:t>
      </w:r>
      <w:r w:rsidRPr="007717D1">
        <w:rPr>
          <w:rFonts w:asciiTheme="majorHAnsi" w:eastAsia="Times New Roman" w:hAnsiTheme="majorHAnsi" w:cs="Times New Roman"/>
          <w:color w:val="000000"/>
          <w:lang w:eastAsia="es-ES"/>
        </w:rPr>
        <w:t xml:space="preserve">de subvenciones 2024 de las subvenciones </w:t>
      </w:r>
      <w:proofErr w:type="gramStart"/>
      <w:r w:rsidRPr="007717D1">
        <w:rPr>
          <w:rFonts w:asciiTheme="majorHAnsi" w:eastAsia="Times New Roman" w:hAnsiTheme="majorHAnsi" w:cs="Times New Roman"/>
          <w:color w:val="000000"/>
          <w:lang w:eastAsia="es-ES"/>
        </w:rPr>
        <w:t>2024,  ha</w:t>
      </w:r>
      <w:proofErr w:type="gramEnd"/>
      <w:r w:rsidRPr="007717D1">
        <w:rPr>
          <w:rFonts w:asciiTheme="majorHAnsi" w:eastAsia="Times New Roman" w:hAnsiTheme="majorHAnsi" w:cs="Times New Roman"/>
          <w:color w:val="000000"/>
          <w:lang w:eastAsia="es-ES"/>
        </w:rPr>
        <w:t xml:space="preserve"> presentado un riesgo neto (el riesgo  calculado con las actuales medidas paliativas)  por incumplimiento del régimen de Ayudas de Estado  alto, que requiere adoptar mayores controles para  reducir ese riesgo aun un riesgo asumible bajo.</w:t>
      </w:r>
    </w:p>
    <w:p w14:paraId="566ACBA2" w14:textId="7655F4DA" w:rsidR="00BD55A7" w:rsidRPr="007717D1" w:rsidRDefault="00BD55A7" w:rsidP="00D03384">
      <w:pPr>
        <w:shd w:val="clear" w:color="auto" w:fill="FFFFFF"/>
        <w:spacing w:before="300" w:after="240" w:line="240" w:lineRule="auto"/>
        <w:jc w:val="both"/>
        <w:rPr>
          <w:rFonts w:asciiTheme="majorHAnsi" w:eastAsia="Times New Roman" w:hAnsiTheme="majorHAnsi" w:cs="Times New Roman"/>
          <w:color w:val="000000"/>
          <w:lang w:eastAsia="es-ES"/>
        </w:rPr>
      </w:pPr>
      <w:r w:rsidRPr="007717D1">
        <w:rPr>
          <w:rFonts w:asciiTheme="majorHAnsi" w:eastAsia="Times New Roman" w:hAnsiTheme="majorHAnsi" w:cs="Times New Roman"/>
          <w:color w:val="000000"/>
          <w:lang w:eastAsia="es-ES"/>
        </w:rPr>
        <w:t xml:space="preserve">Estas mayores medidas son la implantación de un análisis previo  en todas las convocatorias de subvenciones o </w:t>
      </w:r>
      <w:r w:rsidR="00B367C3" w:rsidRPr="007717D1">
        <w:rPr>
          <w:rFonts w:asciiTheme="majorHAnsi" w:eastAsia="Times New Roman" w:hAnsiTheme="majorHAnsi" w:cs="Times New Roman"/>
          <w:color w:val="000000"/>
          <w:lang w:eastAsia="es-ES"/>
        </w:rPr>
        <w:t>convenios</w:t>
      </w:r>
      <w:r w:rsidRPr="007717D1">
        <w:rPr>
          <w:rFonts w:asciiTheme="majorHAnsi" w:eastAsia="Times New Roman" w:hAnsiTheme="majorHAnsi" w:cs="Times New Roman"/>
          <w:color w:val="000000"/>
          <w:lang w:eastAsia="es-ES"/>
        </w:rPr>
        <w:t xml:space="preserve"> </w:t>
      </w:r>
      <w:r w:rsidR="00B367C3" w:rsidRPr="007717D1">
        <w:rPr>
          <w:rFonts w:asciiTheme="majorHAnsi" w:eastAsia="Times New Roman" w:hAnsiTheme="majorHAnsi" w:cs="Times New Roman"/>
          <w:color w:val="000000"/>
          <w:lang w:eastAsia="es-ES"/>
        </w:rPr>
        <w:t>que regulen subvenciones nominativas, para determinar si estamos o no ante ayudas de Estado.</w:t>
      </w:r>
    </w:p>
    <w:p w14:paraId="2DA742F1" w14:textId="414E69E9" w:rsidR="00B367C3" w:rsidRPr="007717D1" w:rsidRDefault="00B367C3" w:rsidP="00D03384">
      <w:pPr>
        <w:shd w:val="clear" w:color="auto" w:fill="FFFFFF"/>
        <w:spacing w:before="300" w:after="240" w:line="240" w:lineRule="auto"/>
        <w:jc w:val="both"/>
        <w:rPr>
          <w:rFonts w:asciiTheme="majorHAnsi" w:eastAsia="Times New Roman" w:hAnsiTheme="majorHAnsi" w:cs="Times New Roman"/>
          <w:color w:val="000000"/>
          <w:lang w:eastAsia="es-ES"/>
        </w:rPr>
      </w:pPr>
      <w:r w:rsidRPr="007717D1">
        <w:rPr>
          <w:rFonts w:asciiTheme="majorHAnsi" w:eastAsia="Times New Roman" w:hAnsiTheme="majorHAnsi" w:cs="Times New Roman"/>
          <w:color w:val="000000"/>
          <w:lang w:eastAsia="es-ES"/>
        </w:rPr>
        <w:t xml:space="preserve">Para ejecutar este análisis, el responsable del </w:t>
      </w:r>
      <w:r w:rsidR="001F1A28" w:rsidRPr="007717D1">
        <w:rPr>
          <w:rFonts w:asciiTheme="majorHAnsi" w:eastAsia="Times New Roman" w:hAnsiTheme="majorHAnsi" w:cs="Times New Roman"/>
          <w:color w:val="000000"/>
          <w:lang w:eastAsia="es-ES"/>
        </w:rPr>
        <w:t>expediente</w:t>
      </w:r>
      <w:r w:rsidRPr="007717D1">
        <w:rPr>
          <w:rFonts w:asciiTheme="majorHAnsi" w:eastAsia="Times New Roman" w:hAnsiTheme="majorHAnsi" w:cs="Times New Roman"/>
          <w:color w:val="000000"/>
          <w:lang w:eastAsia="es-ES"/>
        </w:rPr>
        <w:t xml:space="preserve"> utilizará el listado de control de estas ayudas previsto en el R.D. 1030/2021 de gestión  del PRT</w:t>
      </w:r>
    </w:p>
    <w:p w14:paraId="7FB9F702" w14:textId="65FD0A9E" w:rsidR="00D51C8F" w:rsidRPr="007717D1" w:rsidRDefault="00DF7B12" w:rsidP="00DF7B12">
      <w:pPr>
        <w:shd w:val="clear" w:color="auto" w:fill="FFFFFF"/>
        <w:spacing w:before="300" w:after="240" w:line="240" w:lineRule="auto"/>
        <w:jc w:val="center"/>
        <w:rPr>
          <w:rFonts w:asciiTheme="majorHAnsi" w:eastAsia="Times New Roman" w:hAnsiTheme="majorHAnsi" w:cs="Times New Roman"/>
          <w:color w:val="000000"/>
          <w:lang w:eastAsia="es-ES"/>
        </w:rPr>
      </w:pPr>
      <w:r>
        <w:rPr>
          <w:rFonts w:asciiTheme="majorHAnsi" w:eastAsia="Times New Roman" w:hAnsiTheme="majorHAnsi" w:cs="Times New Roman"/>
          <w:color w:val="000000"/>
          <w:lang w:eastAsia="es-ES"/>
        </w:rPr>
        <w:t>AUTOEVALUACIÓN</w:t>
      </w:r>
    </w:p>
    <w:tbl>
      <w:tblPr>
        <w:tblW w:w="0" w:type="auto"/>
        <w:shd w:val="clear" w:color="auto" w:fill="FFFFFF"/>
        <w:tblCellMar>
          <w:left w:w="0" w:type="dxa"/>
          <w:right w:w="0" w:type="dxa"/>
        </w:tblCellMar>
        <w:tblLook w:val="04A0" w:firstRow="1" w:lastRow="0" w:firstColumn="1" w:lastColumn="0" w:noHBand="0" w:noVBand="1"/>
      </w:tblPr>
      <w:tblGrid>
        <w:gridCol w:w="7604"/>
        <w:gridCol w:w="384"/>
        <w:gridCol w:w="500"/>
      </w:tblGrid>
      <w:tr w:rsidR="00D51C8F" w:rsidRPr="00D51C8F" w14:paraId="6B3B04D9" w14:textId="77777777" w:rsidTr="00D51C8F">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C45FF64"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1.</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 xml:space="preserve">¿Estamos ante una ayuda de Estado conforme al art. 107.1 </w:t>
            </w:r>
            <w:proofErr w:type="gramStart"/>
            <w:r w:rsidRPr="00D51C8F">
              <w:rPr>
                <w:rFonts w:ascii="Arial Narrow" w:eastAsia="Times New Roman" w:hAnsi="Arial Narrow" w:cs="Times New Roman"/>
                <w:color w:val="000000"/>
                <w:lang w:eastAsia="es-ES"/>
              </w:rPr>
              <w:t>TFUE</w:t>
            </w:r>
            <w:r w:rsidRPr="00D51C8F">
              <w:rPr>
                <w:rFonts w:ascii="Arial Narrow" w:eastAsia="Times New Roman" w:hAnsi="Arial Narrow" w:cs="Times New Roman"/>
                <w:color w:val="000000"/>
                <w:vertAlign w:val="superscript"/>
                <w:lang w:eastAsia="es-ES"/>
              </w:rPr>
              <w:t>(</w:t>
            </w:r>
            <w:proofErr w:type="gramEnd"/>
            <w:r w:rsidRPr="00D51C8F">
              <w:rPr>
                <w:rFonts w:ascii="Arial Narrow" w:eastAsia="Times New Roman" w:hAnsi="Arial Narrow" w:cs="Times New Roman"/>
                <w:color w:val="000000"/>
                <w:vertAlign w:val="superscript"/>
                <w:lang w:eastAsia="es-ES"/>
              </w:rPr>
              <w:t>1)</w:t>
            </w:r>
            <w:r w:rsidRPr="00D51C8F">
              <w:rPr>
                <w:rFonts w:ascii="Arial Narrow" w:eastAsia="Times New Roman" w:hAnsi="Arial Narrow" w:cs="Times New Roman"/>
                <w:color w:val="000000"/>
                <w:lang w:eastAsia="es-ES"/>
              </w:rPr>
              <w:t>? (Para serlo deben concurrir todos los requisitos siguientes).</w:t>
            </w:r>
          </w:p>
          <w:p w14:paraId="446355F3"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a)</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Que la ayuda sea otorgada por el Estado o por fondos estatales, bajo cualquier forma. Se entienden incluidas todas las Administraciones Públicas.</w:t>
            </w:r>
          </w:p>
          <w:p w14:paraId="31E53514"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b)</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Que la ayuda falsee o amenace con falsear la competencia.</w:t>
            </w:r>
          </w:p>
          <w:p w14:paraId="41320606"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c)</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Que la ayuda favorezca a determinadas empresas o producciones.</w:t>
            </w:r>
          </w:p>
          <w:p w14:paraId="371DF224"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d)</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Que la ayuda afecte a los intercambios comerciales entre Estados miembro.</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2DF2061"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Sí</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4E9DFCA"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No.</w:t>
            </w:r>
          </w:p>
        </w:tc>
      </w:tr>
      <w:tr w:rsidR="00D51C8F" w:rsidRPr="00D51C8F" w14:paraId="793B5BA2" w14:textId="77777777" w:rsidTr="00D51C8F">
        <w:tc>
          <w:tcPr>
            <w:tcW w:w="0" w:type="auto"/>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235E913"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Continúe únicamente en caso de haber marcado «SÍ».</w:t>
            </w:r>
          </w:p>
        </w:tc>
      </w:tr>
      <w:tr w:rsidR="00D51C8F" w:rsidRPr="00D51C8F" w14:paraId="560FD5A7" w14:textId="77777777" w:rsidTr="00D51C8F">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5375EF8"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2.</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¿Se aplica a la ayuda el régimen de </w:t>
            </w:r>
            <w:proofErr w:type="gramStart"/>
            <w:r w:rsidRPr="00D51C8F">
              <w:rPr>
                <w:rFonts w:ascii="Arial Narrow" w:eastAsia="Times New Roman" w:hAnsi="Arial Narrow" w:cs="Times New Roman"/>
                <w:i/>
                <w:iCs/>
                <w:color w:val="000000"/>
                <w:lang w:eastAsia="es-ES"/>
              </w:rPr>
              <w:t>mínimis</w:t>
            </w:r>
            <w:r w:rsidRPr="00D51C8F">
              <w:rPr>
                <w:rFonts w:ascii="Arial Narrow" w:eastAsia="Times New Roman" w:hAnsi="Arial Narrow" w:cs="Times New Roman"/>
                <w:color w:val="000000"/>
                <w:vertAlign w:val="superscript"/>
                <w:lang w:eastAsia="es-ES"/>
              </w:rPr>
              <w:t>(</w:t>
            </w:r>
            <w:proofErr w:type="gramEnd"/>
            <w:r w:rsidRPr="00D51C8F">
              <w:rPr>
                <w:rFonts w:ascii="Arial Narrow" w:eastAsia="Times New Roman" w:hAnsi="Arial Narrow" w:cs="Times New Roman"/>
                <w:color w:val="000000"/>
                <w:vertAlign w:val="superscript"/>
                <w:lang w:eastAsia="es-ES"/>
              </w:rPr>
              <w:t>2)</w:t>
            </w:r>
            <w:r w:rsidRPr="00D51C8F">
              <w:rPr>
                <w:rFonts w:ascii="Arial Narrow" w:eastAsia="Times New Roman" w:hAnsi="Arial Narrow" w:cs="Times New Roman"/>
                <w:color w:val="000000"/>
                <w:lang w:eastAsia="es-ES"/>
              </w:rPr>
              <w:t>?</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8433984"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Sí</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6026CAB"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No.</w:t>
            </w:r>
          </w:p>
        </w:tc>
      </w:tr>
      <w:tr w:rsidR="00D51C8F" w:rsidRPr="00D51C8F" w14:paraId="4869C084" w14:textId="77777777" w:rsidTr="00D51C8F">
        <w:tc>
          <w:tcPr>
            <w:tcW w:w="0" w:type="auto"/>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884597C"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En caso de haber marcado «SÍ» en la pregunta 2, continúe con la pregunta 6.</w:t>
            </w:r>
          </w:p>
        </w:tc>
      </w:tr>
      <w:tr w:rsidR="00D51C8F" w:rsidRPr="00D51C8F" w14:paraId="5817B47E" w14:textId="77777777" w:rsidTr="00D51C8F">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1C0B52F5"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3.</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 xml:space="preserve">¿La ayuda de Estado es considerada compatible de conformidad con el Reglamento (UE) n. ° 651/2014 de la Comisión, de 17 de junio de 2014, por el que se declaran determinadas categorías de ayudas compatibles con el mercado </w:t>
            </w:r>
            <w:proofErr w:type="gramStart"/>
            <w:r w:rsidRPr="00D51C8F">
              <w:rPr>
                <w:rFonts w:ascii="Arial Narrow" w:eastAsia="Times New Roman" w:hAnsi="Arial Narrow" w:cs="Times New Roman"/>
                <w:color w:val="000000"/>
                <w:lang w:eastAsia="es-ES"/>
              </w:rPr>
              <w:t>interior</w:t>
            </w:r>
            <w:r w:rsidRPr="00D51C8F">
              <w:rPr>
                <w:rFonts w:ascii="Arial Narrow" w:eastAsia="Times New Roman" w:hAnsi="Arial Narrow" w:cs="Times New Roman"/>
                <w:color w:val="000000"/>
                <w:vertAlign w:val="superscript"/>
                <w:lang w:eastAsia="es-ES"/>
              </w:rPr>
              <w:t>(</w:t>
            </w:r>
            <w:proofErr w:type="gramEnd"/>
            <w:r w:rsidRPr="00D51C8F">
              <w:rPr>
                <w:rFonts w:ascii="Arial Narrow" w:eastAsia="Times New Roman" w:hAnsi="Arial Narrow" w:cs="Times New Roman"/>
                <w:color w:val="000000"/>
                <w:vertAlign w:val="superscript"/>
                <w:lang w:eastAsia="es-ES"/>
              </w:rPr>
              <w:t>3)</w:t>
            </w:r>
            <w:r w:rsidRPr="00D51C8F">
              <w:rPr>
                <w:rFonts w:ascii="Arial Narrow" w:eastAsia="Times New Roman" w:hAnsi="Arial Narrow" w:cs="Times New Roman"/>
                <w:color w:val="000000"/>
                <w:lang w:eastAsia="es-ES"/>
              </w:rPr>
              <w:t>, o por otras excepciones legalmente establecidas?</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797A5405"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Sí</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4F64DE8"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No.</w:t>
            </w:r>
          </w:p>
        </w:tc>
      </w:tr>
      <w:tr w:rsidR="00D51C8F" w:rsidRPr="00D51C8F" w14:paraId="21DF3C5B" w14:textId="77777777" w:rsidTr="00D51C8F">
        <w:tc>
          <w:tcPr>
            <w:tcW w:w="0" w:type="auto"/>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0741F3D"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En caso de haber marcado «SÍ» en la pregunta 3, continúe con las preguntas 5 y 6.</w:t>
            </w:r>
          </w:p>
        </w:tc>
      </w:tr>
      <w:tr w:rsidR="00D51C8F" w:rsidRPr="00D51C8F" w14:paraId="1FCB36D3" w14:textId="77777777" w:rsidTr="00D51C8F">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C1B36B2"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4.</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¿La ayuda de Estado ha sido notificada a la Comisión Europea, con carácter previo a su ejecución, conforme al artículo 108.3 TFUE?</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B0DF0A8"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Sí</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0D61408"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No.</w:t>
            </w:r>
          </w:p>
        </w:tc>
      </w:tr>
      <w:tr w:rsidR="00D51C8F" w:rsidRPr="00D51C8F" w14:paraId="5569D7AB" w14:textId="77777777" w:rsidTr="00D51C8F">
        <w:tc>
          <w:tcPr>
            <w:tcW w:w="0" w:type="auto"/>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202EDCE"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En caso de haber marcado «NO» en las preguntas 2 y 3, debe contestar «SÍ» a la pregunta 4.</w:t>
            </w:r>
          </w:p>
        </w:tc>
      </w:tr>
      <w:tr w:rsidR="00D51C8F" w:rsidRPr="00D51C8F" w14:paraId="45786575" w14:textId="77777777" w:rsidTr="00D51C8F">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883A12C"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5.</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¿La ayuda de Estado exenta de notificación previa ha sido comunicada a posteriori a la Comisión Europea en el plazo reglamentario?</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4CCAFDF5"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Sí</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227D8C34"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No.</w:t>
            </w:r>
          </w:p>
        </w:tc>
      </w:tr>
      <w:tr w:rsidR="00D51C8F" w:rsidRPr="00D51C8F" w14:paraId="3EE21E7F" w14:textId="77777777" w:rsidTr="00D51C8F">
        <w:tc>
          <w:tcPr>
            <w:tcW w:w="0" w:type="auto"/>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6D906AE"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En caso de haber marcado «SÍ» en la pregunta 3, debe contestar «SÍ» a la pregunta 5.</w:t>
            </w:r>
          </w:p>
        </w:tc>
      </w:tr>
      <w:tr w:rsidR="00D51C8F" w:rsidRPr="00D51C8F" w14:paraId="40D55249" w14:textId="77777777" w:rsidTr="00D51C8F">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03B8CD73"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6.</w:t>
            </w:r>
            <w:r w:rsidRPr="00D51C8F">
              <w:rPr>
                <w:rFonts w:ascii="Arial Narrow" w:eastAsia="Times New Roman" w:hAnsi="Arial Narrow" w:cs="Times New Roman"/>
                <w:color w:val="000000"/>
                <w:lang w:eastAsia="es-ES"/>
              </w:rPr>
              <w:t> </w:t>
            </w:r>
            <w:r w:rsidRPr="00D51C8F">
              <w:rPr>
                <w:rFonts w:ascii="Arial Narrow" w:eastAsia="Times New Roman" w:hAnsi="Arial Narrow" w:cs="Times New Roman"/>
                <w:color w:val="000000"/>
                <w:lang w:eastAsia="es-ES"/>
              </w:rPr>
              <w:t>¿La ayuda de Estado se ha incluido en la Base de Datos Nacional de Subvenciones?</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63AE6A0D"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Sí</w:t>
            </w:r>
          </w:p>
        </w:tc>
        <w:tc>
          <w:tcPr>
            <w:tcW w:w="0" w:type="auto"/>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3527542F"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No.</w:t>
            </w:r>
          </w:p>
        </w:tc>
      </w:tr>
      <w:tr w:rsidR="00D51C8F" w:rsidRPr="00D51C8F" w14:paraId="0D5DC3A0" w14:textId="77777777" w:rsidTr="00D51C8F">
        <w:tc>
          <w:tcPr>
            <w:tcW w:w="0" w:type="auto"/>
            <w:gridSpan w:val="3"/>
            <w:tcBorders>
              <w:top w:val="single" w:sz="6" w:space="0" w:color="A0B0C0"/>
              <w:left w:val="single" w:sz="6" w:space="0" w:color="A0B0C0"/>
              <w:bottom w:val="single" w:sz="6" w:space="0" w:color="A0B0C0"/>
              <w:right w:val="single" w:sz="6" w:space="0" w:color="A0B0C0"/>
            </w:tcBorders>
            <w:shd w:val="clear" w:color="auto" w:fill="FFFFFF"/>
            <w:tcMar>
              <w:top w:w="48" w:type="dxa"/>
              <w:left w:w="96" w:type="dxa"/>
              <w:bottom w:w="48" w:type="dxa"/>
              <w:right w:w="96" w:type="dxa"/>
            </w:tcMar>
            <w:vAlign w:val="center"/>
            <w:hideMark/>
          </w:tcPr>
          <w:p w14:paraId="52C291BC" w14:textId="77777777" w:rsidR="00D51C8F" w:rsidRPr="00D51C8F" w:rsidRDefault="00D51C8F" w:rsidP="00D03384">
            <w:pPr>
              <w:spacing w:after="0" w:line="240" w:lineRule="auto"/>
              <w:jc w:val="both"/>
              <w:rPr>
                <w:rFonts w:ascii="Arial Narrow" w:eastAsia="Times New Roman" w:hAnsi="Arial Narrow" w:cs="Times New Roman"/>
                <w:color w:val="000000"/>
                <w:lang w:eastAsia="es-ES"/>
              </w:rPr>
            </w:pPr>
            <w:r w:rsidRPr="00D51C8F">
              <w:rPr>
                <w:rFonts w:ascii="Arial Narrow" w:eastAsia="Times New Roman" w:hAnsi="Arial Narrow" w:cs="Times New Roman"/>
                <w:color w:val="000000"/>
                <w:lang w:eastAsia="es-ES"/>
              </w:rPr>
              <w:t>En caso de haber marcado «SÍ» a cualquiera de las preguntas anteriores, debe contestar «SÍ» a la pregunta 6.</w:t>
            </w:r>
          </w:p>
        </w:tc>
      </w:tr>
      <w:tr w:rsidR="00D51C8F" w:rsidRPr="00D51C8F" w14:paraId="2CFFB874" w14:textId="77777777" w:rsidTr="00D51C8F">
        <w:tc>
          <w:tcPr>
            <w:tcW w:w="0" w:type="auto"/>
            <w:gridSpan w:val="3"/>
            <w:tcBorders>
              <w:top w:val="nil"/>
              <w:left w:val="nil"/>
              <w:bottom w:val="nil"/>
              <w:right w:val="nil"/>
            </w:tcBorders>
            <w:shd w:val="clear" w:color="auto" w:fill="FFFFFF"/>
            <w:tcMar>
              <w:top w:w="48" w:type="dxa"/>
              <w:left w:w="96" w:type="dxa"/>
              <w:bottom w:w="48" w:type="dxa"/>
              <w:right w:w="96" w:type="dxa"/>
            </w:tcMar>
            <w:vAlign w:val="center"/>
            <w:hideMark/>
          </w:tcPr>
          <w:p w14:paraId="61267AEF" w14:textId="77777777" w:rsidR="00D51C8F" w:rsidRPr="00D51C8F" w:rsidRDefault="00D51C8F" w:rsidP="00D03384">
            <w:pPr>
              <w:spacing w:before="60" w:after="0" w:line="240" w:lineRule="auto"/>
              <w:jc w:val="both"/>
              <w:rPr>
                <w:rFonts w:ascii="Arial Narrow" w:eastAsia="Times New Roman" w:hAnsi="Arial Narrow" w:cs="Times New Roman"/>
                <w:color w:val="000000"/>
                <w:sz w:val="18"/>
                <w:szCs w:val="18"/>
                <w:lang w:eastAsia="es-ES"/>
              </w:rPr>
            </w:pPr>
            <w:r w:rsidRPr="00D51C8F">
              <w:rPr>
                <w:rFonts w:ascii="Arial Narrow" w:eastAsia="Times New Roman" w:hAnsi="Arial Narrow" w:cs="Times New Roman"/>
                <w:color w:val="000000"/>
                <w:sz w:val="18"/>
                <w:szCs w:val="18"/>
                <w:vertAlign w:val="superscript"/>
                <w:lang w:eastAsia="es-ES"/>
              </w:rPr>
              <w:t>(1)</w:t>
            </w:r>
            <w:r w:rsidRPr="00D51C8F">
              <w:rPr>
                <w:rFonts w:ascii="Arial Narrow" w:eastAsia="Times New Roman" w:hAnsi="Arial Narrow" w:cs="Times New Roman"/>
                <w:color w:val="000000"/>
                <w:sz w:val="18"/>
                <w:szCs w:val="18"/>
                <w:lang w:eastAsia="es-ES"/>
              </w:rPr>
              <w:t> La Comisión aclara los elementos clave relativos al concepto de ayuda de Estado en la Comunicación 2016/C 262/01 de la Comisión relativa al concepto de ayuda estatal conforme a lo dispuesto en el artículo 107, apartado 1, del TFUE.</w:t>
            </w:r>
          </w:p>
          <w:p w14:paraId="1C470A4D" w14:textId="77777777" w:rsidR="00D51C8F" w:rsidRDefault="00D51C8F" w:rsidP="00D03384">
            <w:pPr>
              <w:spacing w:before="60" w:after="0" w:line="240" w:lineRule="auto"/>
              <w:jc w:val="both"/>
              <w:rPr>
                <w:rFonts w:ascii="Arial Narrow" w:eastAsia="Times New Roman" w:hAnsi="Arial Narrow" w:cs="Times New Roman"/>
                <w:color w:val="000000"/>
                <w:sz w:val="18"/>
                <w:szCs w:val="18"/>
                <w:lang w:eastAsia="es-ES"/>
              </w:rPr>
            </w:pPr>
            <w:r w:rsidRPr="00D51C8F">
              <w:rPr>
                <w:rFonts w:ascii="Arial Narrow" w:eastAsia="Times New Roman" w:hAnsi="Arial Narrow" w:cs="Times New Roman"/>
                <w:color w:val="000000"/>
                <w:sz w:val="18"/>
                <w:szCs w:val="18"/>
                <w:vertAlign w:val="superscript"/>
                <w:lang w:eastAsia="es-ES"/>
              </w:rPr>
              <w:t>(2)</w:t>
            </w:r>
            <w:r w:rsidRPr="00D51C8F">
              <w:rPr>
                <w:rFonts w:ascii="Arial Narrow" w:eastAsia="Times New Roman" w:hAnsi="Arial Narrow" w:cs="Times New Roman"/>
                <w:color w:val="000000"/>
                <w:sz w:val="18"/>
                <w:szCs w:val="18"/>
                <w:lang w:eastAsia="es-ES"/>
              </w:rPr>
              <w:t> Reglamento (UE) 1407/2013 de la Comisión, de 18 de diciembre de 2013, relativo a la aplicación de los artículos 107 y 108 del TFUE a las ayudas de </w:t>
            </w:r>
            <w:r w:rsidRPr="00D51C8F">
              <w:rPr>
                <w:rFonts w:ascii="Arial Narrow" w:eastAsia="Times New Roman" w:hAnsi="Arial Narrow" w:cs="Times New Roman"/>
                <w:i/>
                <w:iCs/>
                <w:color w:val="000000"/>
                <w:sz w:val="18"/>
                <w:szCs w:val="18"/>
                <w:lang w:eastAsia="es-ES"/>
              </w:rPr>
              <w:t>mínimis</w:t>
            </w:r>
            <w:r w:rsidRPr="00D51C8F">
              <w:rPr>
                <w:rFonts w:ascii="Arial Narrow" w:eastAsia="Times New Roman" w:hAnsi="Arial Narrow" w:cs="Times New Roman"/>
                <w:color w:val="000000"/>
                <w:sz w:val="18"/>
                <w:szCs w:val="18"/>
                <w:lang w:eastAsia="es-ES"/>
              </w:rPr>
              <w:t>; Reglamento (UE) 1408/2013, de la Comisión, de 18 de diciembre de 2013, relativo a la aplicación de los artículos 107 y 108 del TFUE a las ayudas de </w:t>
            </w:r>
            <w:r w:rsidRPr="00D51C8F">
              <w:rPr>
                <w:rFonts w:ascii="Arial Narrow" w:eastAsia="Times New Roman" w:hAnsi="Arial Narrow" w:cs="Times New Roman"/>
                <w:i/>
                <w:iCs/>
                <w:color w:val="000000"/>
                <w:sz w:val="18"/>
                <w:szCs w:val="18"/>
                <w:lang w:eastAsia="es-ES"/>
              </w:rPr>
              <w:t>mínimis</w:t>
            </w:r>
            <w:r w:rsidRPr="00D51C8F">
              <w:rPr>
                <w:rFonts w:ascii="Arial Narrow" w:eastAsia="Times New Roman" w:hAnsi="Arial Narrow" w:cs="Times New Roman"/>
                <w:color w:val="000000"/>
                <w:sz w:val="18"/>
                <w:szCs w:val="18"/>
                <w:lang w:eastAsia="es-ES"/>
              </w:rPr>
              <w:t xml:space="preserve"> en el sector agrícola; Reglamento (UE) 717/2014 de la </w:t>
            </w:r>
            <w:r w:rsidRPr="00D51C8F">
              <w:rPr>
                <w:rFonts w:ascii="Arial Narrow" w:eastAsia="Times New Roman" w:hAnsi="Arial Narrow" w:cs="Times New Roman"/>
                <w:color w:val="000000"/>
                <w:sz w:val="18"/>
                <w:szCs w:val="18"/>
                <w:lang w:eastAsia="es-ES"/>
              </w:rPr>
              <w:lastRenderedPageBreak/>
              <w:t>Comisión, de 27 de junio de 2014 relativo a la aplicación de los artículos 107 y 108 del Tratado de Funcionamiento de la Unión Europea a las ayudas de </w:t>
            </w:r>
            <w:r w:rsidRPr="00D51C8F">
              <w:rPr>
                <w:rFonts w:ascii="Arial Narrow" w:eastAsia="Times New Roman" w:hAnsi="Arial Narrow" w:cs="Times New Roman"/>
                <w:i/>
                <w:iCs/>
                <w:color w:val="000000"/>
                <w:sz w:val="18"/>
                <w:szCs w:val="18"/>
                <w:lang w:eastAsia="es-ES"/>
              </w:rPr>
              <w:t>mínimis</w:t>
            </w:r>
            <w:r w:rsidRPr="00D51C8F">
              <w:rPr>
                <w:rFonts w:ascii="Arial Narrow" w:eastAsia="Times New Roman" w:hAnsi="Arial Narrow" w:cs="Times New Roman"/>
                <w:color w:val="000000"/>
                <w:sz w:val="18"/>
                <w:szCs w:val="18"/>
                <w:lang w:eastAsia="es-ES"/>
              </w:rPr>
              <w:t> en el sector de la pesca y de la acuicultura; Reglamento (UE) 360/2012 de la Comisión, de 25 de abril de 2012 relativo a la aplicación de los artículos 107 y 108 del TFUE a las ayudas de </w:t>
            </w:r>
            <w:r w:rsidRPr="00D51C8F">
              <w:rPr>
                <w:rFonts w:ascii="Arial Narrow" w:eastAsia="Times New Roman" w:hAnsi="Arial Narrow" w:cs="Times New Roman"/>
                <w:i/>
                <w:iCs/>
                <w:color w:val="000000"/>
                <w:sz w:val="18"/>
                <w:szCs w:val="18"/>
                <w:lang w:eastAsia="es-ES"/>
              </w:rPr>
              <w:t>mínimis </w:t>
            </w:r>
            <w:r w:rsidRPr="00D51C8F">
              <w:rPr>
                <w:rFonts w:ascii="Arial Narrow" w:eastAsia="Times New Roman" w:hAnsi="Arial Narrow" w:cs="Times New Roman"/>
                <w:color w:val="000000"/>
                <w:sz w:val="18"/>
                <w:szCs w:val="18"/>
                <w:lang w:eastAsia="es-ES"/>
              </w:rPr>
              <w:t>concedidas a empresas que prestan servicios de interés económico general. En este caso deben cumplirse con todas las obligaciones establecidos en los Reglamentos, prestando especial atención a que no se rebasen los umbrales establecidos para ser consideradas ayudas de </w:t>
            </w:r>
            <w:r w:rsidRPr="00D51C8F">
              <w:rPr>
                <w:rFonts w:ascii="Arial Narrow" w:eastAsia="Times New Roman" w:hAnsi="Arial Narrow" w:cs="Times New Roman"/>
                <w:i/>
                <w:iCs/>
                <w:color w:val="000000"/>
                <w:sz w:val="18"/>
                <w:szCs w:val="18"/>
                <w:lang w:eastAsia="es-ES"/>
              </w:rPr>
              <w:t>mínimis</w:t>
            </w:r>
            <w:r w:rsidRPr="00D51C8F">
              <w:rPr>
                <w:rFonts w:ascii="Arial Narrow" w:eastAsia="Times New Roman" w:hAnsi="Arial Narrow" w:cs="Times New Roman"/>
                <w:color w:val="000000"/>
                <w:sz w:val="18"/>
                <w:szCs w:val="18"/>
                <w:lang w:eastAsia="es-ES"/>
              </w:rPr>
              <w:t>.</w:t>
            </w:r>
          </w:p>
          <w:p w14:paraId="122DA409" w14:textId="65560FA1" w:rsidR="001F1A28" w:rsidRPr="001F1A28" w:rsidRDefault="001F1A28" w:rsidP="00D03384">
            <w:pPr>
              <w:spacing w:before="60" w:after="0" w:line="240" w:lineRule="auto"/>
              <w:jc w:val="both"/>
              <w:rPr>
                <w:rFonts w:ascii="Arial Narrow" w:eastAsia="Times New Roman" w:hAnsi="Arial Narrow" w:cs="Times New Roman"/>
                <w:b/>
                <w:bCs/>
                <w:color w:val="000000"/>
                <w:sz w:val="18"/>
                <w:szCs w:val="18"/>
                <w:lang w:eastAsia="es-ES"/>
              </w:rPr>
            </w:pPr>
            <w:r w:rsidRPr="001F1A28">
              <w:rPr>
                <w:rFonts w:ascii="Arial Narrow" w:eastAsia="Times New Roman" w:hAnsi="Arial Narrow" w:cs="Times New Roman"/>
                <w:b/>
                <w:bCs/>
                <w:color w:val="000000"/>
                <w:sz w:val="18"/>
                <w:szCs w:val="18"/>
                <w:lang w:eastAsia="es-ES"/>
              </w:rPr>
              <w:t xml:space="preserve">Reglamento (UE))2023/2832 que aumenta a 300.000 € el </w:t>
            </w:r>
            <w:proofErr w:type="gramStart"/>
            <w:r w:rsidRPr="001F1A28">
              <w:rPr>
                <w:rFonts w:ascii="Arial Narrow" w:eastAsia="Times New Roman" w:hAnsi="Arial Narrow" w:cs="Times New Roman"/>
                <w:b/>
                <w:bCs/>
                <w:color w:val="000000"/>
                <w:sz w:val="18"/>
                <w:szCs w:val="18"/>
                <w:lang w:eastAsia="es-ES"/>
              </w:rPr>
              <w:t>máximo</w:t>
            </w:r>
            <w:r w:rsidRPr="001F1A28">
              <w:rPr>
                <w:rFonts w:ascii="Arial Narrow" w:eastAsia="Times New Roman" w:hAnsi="Arial Narrow" w:cs="Times New Roman"/>
                <w:b/>
                <w:bCs/>
                <w:color w:val="000000"/>
                <w:sz w:val="18"/>
                <w:szCs w:val="18"/>
                <w:lang w:eastAsia="es-ES"/>
              </w:rPr>
              <w:t xml:space="preserve"> otorgada</w:t>
            </w:r>
            <w:proofErr w:type="gramEnd"/>
            <w:r w:rsidRPr="001F1A28">
              <w:rPr>
                <w:rFonts w:ascii="Arial Narrow" w:eastAsia="Times New Roman" w:hAnsi="Arial Narrow" w:cs="Times New Roman"/>
                <w:b/>
                <w:bCs/>
                <w:color w:val="000000"/>
                <w:sz w:val="18"/>
                <w:szCs w:val="18"/>
                <w:lang w:eastAsia="es-ES"/>
              </w:rPr>
              <w:t xml:space="preserve"> en cada período de 3 años</w:t>
            </w:r>
            <w:r>
              <w:rPr>
                <w:rFonts w:ascii="Arial Narrow" w:eastAsia="Times New Roman" w:hAnsi="Arial Narrow" w:cs="Times New Roman"/>
                <w:b/>
                <w:bCs/>
                <w:color w:val="000000"/>
                <w:sz w:val="18"/>
                <w:szCs w:val="18"/>
                <w:lang w:eastAsia="es-ES"/>
              </w:rPr>
              <w:t xml:space="preserve"> que los Estados miembros no tienen que notificar a la Comisión Europea</w:t>
            </w:r>
          </w:p>
          <w:p w14:paraId="4037A7DA" w14:textId="77777777" w:rsidR="00D51C8F" w:rsidRDefault="00D51C8F" w:rsidP="00D03384">
            <w:pPr>
              <w:spacing w:before="60" w:after="0" w:line="240" w:lineRule="auto"/>
              <w:jc w:val="both"/>
              <w:rPr>
                <w:rFonts w:ascii="Arial Narrow" w:eastAsia="Times New Roman" w:hAnsi="Arial Narrow" w:cs="Times New Roman"/>
                <w:color w:val="000000"/>
                <w:sz w:val="18"/>
                <w:szCs w:val="18"/>
                <w:lang w:eastAsia="es-ES"/>
              </w:rPr>
            </w:pPr>
            <w:r w:rsidRPr="00D51C8F">
              <w:rPr>
                <w:rFonts w:ascii="Arial Narrow" w:eastAsia="Times New Roman" w:hAnsi="Arial Narrow" w:cs="Times New Roman"/>
                <w:color w:val="000000"/>
                <w:sz w:val="18"/>
                <w:szCs w:val="18"/>
                <w:vertAlign w:val="superscript"/>
                <w:lang w:eastAsia="es-ES"/>
              </w:rPr>
              <w:t>(3)</w:t>
            </w:r>
            <w:r w:rsidRPr="00D51C8F">
              <w:rPr>
                <w:rFonts w:ascii="Arial Narrow" w:eastAsia="Times New Roman" w:hAnsi="Arial Narrow" w:cs="Times New Roman"/>
                <w:color w:val="000000"/>
                <w:sz w:val="18"/>
                <w:szCs w:val="18"/>
                <w:lang w:eastAsia="es-ES"/>
              </w:rPr>
              <w:t> También la ayuda de Estado puede ser considerada compatible de conformidad con el Reglamento (UE) 702/2014 de la Comisión, de 25 de junio de 2014, por el que se declaran determinadas categorías de ayuda en los sectores agrícola y forestal y en zonas rurales compatibles con el mercado interior en aplicación de los artículos 107 y 108 del TFUE o con el Reglamento (UE) n °1388/2014 de la Comisión, de 16 de diciembre de 2014, por el que se declaran determinadas categorías de ayudas a empresas dedicadas a la producción, transformación y comercialización de productos de la pesca y de la acuicultura compatibles con el mercado interior en aplicación de los artículos 107 y 108 del TFUE. Si en un régimen de ayudas que se considere compatible, existiera alguna ayuda individual que deba ser notificada por sobrepasar los límites establecidos, deberán cumplirse en relación con la misma, con las obligaciones de notificación.</w:t>
            </w:r>
          </w:p>
          <w:p w14:paraId="6C62FFE4" w14:textId="632F4A63" w:rsidR="001F1A28" w:rsidRPr="00D51C8F" w:rsidRDefault="001F1A28" w:rsidP="00D03384">
            <w:pPr>
              <w:spacing w:before="60" w:after="0" w:line="240" w:lineRule="auto"/>
              <w:jc w:val="both"/>
              <w:rPr>
                <w:rFonts w:ascii="Arial Narrow" w:eastAsia="Times New Roman" w:hAnsi="Arial Narrow" w:cs="Times New Roman"/>
                <w:color w:val="000000"/>
                <w:sz w:val="18"/>
                <w:szCs w:val="18"/>
                <w:lang w:eastAsia="es-ES"/>
              </w:rPr>
            </w:pPr>
          </w:p>
        </w:tc>
      </w:tr>
    </w:tbl>
    <w:p w14:paraId="6953FFE6" w14:textId="77777777" w:rsidR="006925FD" w:rsidRDefault="006925FD" w:rsidP="00D03384">
      <w:pPr>
        <w:shd w:val="clear" w:color="auto" w:fill="FFFFFF"/>
        <w:spacing w:before="300" w:after="240" w:line="240" w:lineRule="auto"/>
        <w:jc w:val="both"/>
        <w:rPr>
          <w:rFonts w:ascii="Verdana" w:eastAsia="Times New Roman" w:hAnsi="Verdana" w:cs="Times New Roman"/>
          <w:color w:val="000000"/>
          <w:sz w:val="24"/>
          <w:szCs w:val="24"/>
          <w:lang w:eastAsia="es-ES"/>
        </w:rPr>
      </w:pPr>
    </w:p>
    <w:p w14:paraId="568CF884" w14:textId="77777777" w:rsidR="006925FD" w:rsidRDefault="006925FD">
      <w:pPr>
        <w:rPr>
          <w:rFonts w:ascii="Verdana" w:eastAsia="Times New Roman" w:hAnsi="Verdana" w:cs="Times New Roman"/>
          <w:color w:val="000000"/>
          <w:sz w:val="24"/>
          <w:szCs w:val="24"/>
          <w:lang w:eastAsia="es-ES"/>
        </w:rPr>
      </w:pPr>
      <w:r>
        <w:rPr>
          <w:rFonts w:ascii="Verdana" w:eastAsia="Times New Roman" w:hAnsi="Verdana" w:cs="Times New Roman"/>
          <w:color w:val="000000"/>
          <w:sz w:val="24"/>
          <w:szCs w:val="24"/>
          <w:lang w:eastAsia="es-ES"/>
        </w:rPr>
        <w:br w:type="page"/>
      </w:r>
    </w:p>
    <w:p w14:paraId="128B4CBE" w14:textId="77777777" w:rsidR="00C420E9" w:rsidRDefault="00C420E9" w:rsidP="00D03384">
      <w:pPr>
        <w:shd w:val="clear" w:color="auto" w:fill="FFFFFF"/>
        <w:spacing w:before="300" w:after="240" w:line="240" w:lineRule="auto"/>
        <w:jc w:val="both"/>
        <w:rPr>
          <w:rFonts w:ascii="Verdana" w:eastAsia="Times New Roman" w:hAnsi="Verdana" w:cs="Times New Roman"/>
          <w:color w:val="000000"/>
          <w:sz w:val="24"/>
          <w:szCs w:val="24"/>
          <w:lang w:eastAsia="es-ES"/>
        </w:rPr>
      </w:pPr>
    </w:p>
    <w:sectPr w:rsidR="00C420E9" w:rsidSect="00883000">
      <w:pgSz w:w="11906" w:h="16838"/>
      <w:pgMar w:top="130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75FD"/>
    <w:multiLevelType w:val="hybridMultilevel"/>
    <w:tmpl w:val="5274B480"/>
    <w:lvl w:ilvl="0" w:tplc="BEFC669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455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8F"/>
    <w:rsid w:val="000179B4"/>
    <w:rsid w:val="0004000A"/>
    <w:rsid w:val="00076A56"/>
    <w:rsid w:val="00166E3C"/>
    <w:rsid w:val="001F1A28"/>
    <w:rsid w:val="002B731E"/>
    <w:rsid w:val="004560D4"/>
    <w:rsid w:val="004C0C70"/>
    <w:rsid w:val="006925FD"/>
    <w:rsid w:val="006F2BA4"/>
    <w:rsid w:val="007717D1"/>
    <w:rsid w:val="007B330F"/>
    <w:rsid w:val="007D6628"/>
    <w:rsid w:val="00860FB0"/>
    <w:rsid w:val="00883000"/>
    <w:rsid w:val="0099373A"/>
    <w:rsid w:val="00A54A0E"/>
    <w:rsid w:val="00A95736"/>
    <w:rsid w:val="00AA5F14"/>
    <w:rsid w:val="00AD6E19"/>
    <w:rsid w:val="00B367C3"/>
    <w:rsid w:val="00BD55A7"/>
    <w:rsid w:val="00C420E9"/>
    <w:rsid w:val="00CE0530"/>
    <w:rsid w:val="00D03384"/>
    <w:rsid w:val="00D51C8F"/>
    <w:rsid w:val="00D74313"/>
    <w:rsid w:val="00D95CBA"/>
    <w:rsid w:val="00DB1859"/>
    <w:rsid w:val="00DC4636"/>
    <w:rsid w:val="00DE03B7"/>
    <w:rsid w:val="00DF7B12"/>
    <w:rsid w:val="00EC39A9"/>
    <w:rsid w:val="00ED0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53C"/>
  <w15:docId w15:val="{E4A481E7-2B5B-4606-8106-4FE4B2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semiHidden/>
    <w:unhideWhenUsed/>
    <w:qFormat/>
    <w:rsid w:val="00D51C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D51C8F"/>
    <w:rPr>
      <w:rFonts w:asciiTheme="majorHAnsi" w:eastAsiaTheme="majorEastAsia" w:hAnsiTheme="majorHAnsi" w:cstheme="majorBidi"/>
      <w:color w:val="243F60" w:themeColor="accent1" w:themeShade="7F"/>
    </w:rPr>
  </w:style>
  <w:style w:type="paragraph" w:styleId="Textodebloque">
    <w:name w:val="Block Text"/>
    <w:basedOn w:val="Normal"/>
    <w:rsid w:val="00EC39A9"/>
    <w:pPr>
      <w:spacing w:after="0" w:line="360" w:lineRule="auto"/>
      <w:ind w:left="567" w:right="567" w:firstLine="1134"/>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EC3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5347">
      <w:bodyDiv w:val="1"/>
      <w:marLeft w:val="0"/>
      <w:marRight w:val="0"/>
      <w:marTop w:val="0"/>
      <w:marBottom w:val="0"/>
      <w:divBdr>
        <w:top w:val="none" w:sz="0" w:space="0" w:color="auto"/>
        <w:left w:val="none" w:sz="0" w:space="0" w:color="auto"/>
        <w:bottom w:val="none" w:sz="0" w:space="0" w:color="auto"/>
        <w:right w:val="none" w:sz="0" w:space="0" w:color="auto"/>
      </w:divBdr>
    </w:div>
    <w:div w:id="769012911">
      <w:bodyDiv w:val="1"/>
      <w:marLeft w:val="0"/>
      <w:marRight w:val="0"/>
      <w:marTop w:val="0"/>
      <w:marBottom w:val="0"/>
      <w:divBdr>
        <w:top w:val="none" w:sz="0" w:space="0" w:color="auto"/>
        <w:left w:val="none" w:sz="0" w:space="0" w:color="auto"/>
        <w:bottom w:val="none" w:sz="0" w:space="0" w:color="auto"/>
        <w:right w:val="none" w:sz="0" w:space="0" w:color="auto"/>
      </w:divBdr>
    </w:div>
    <w:div w:id="117325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1435-A0CC-4CAA-BAE8-ACFB1D01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Salgado Gimeno</dc:creator>
  <cp:lastModifiedBy>Rafael Salgado Gimeno</cp:lastModifiedBy>
  <cp:revision>2</cp:revision>
  <cp:lastPrinted>2024-04-19T07:00:00Z</cp:lastPrinted>
  <dcterms:created xsi:type="dcterms:W3CDTF">2024-04-22T09:45:00Z</dcterms:created>
  <dcterms:modified xsi:type="dcterms:W3CDTF">2024-04-22T09:45:00Z</dcterms:modified>
</cp:coreProperties>
</file>